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104"/>
      </w:tblGrid>
      <w:tr w:rsidR="007E3D65" w:rsidRPr="007E3D65" w:rsidTr="007E3D6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7E3D65" w:rsidRPr="007E3D6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3D65" w:rsidRPr="007E3D65" w:rsidRDefault="007E3D65" w:rsidP="007E3D6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7E3D6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Mayıs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3D65" w:rsidRPr="007E3D65" w:rsidRDefault="007E3D65" w:rsidP="007E3D6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jc w:val="center"/>
                    <w:rPr>
                      <w:rFonts w:ascii="Palatino Linotype" w:eastAsia="Times New Roman" w:hAnsi="Palatino Linotype"/>
                      <w:b/>
                      <w:color w:val="800080"/>
                      <w:lang w:eastAsia="tr-TR"/>
                    </w:rPr>
                  </w:pPr>
                  <w:r w:rsidRPr="007E3D65">
                    <w:rPr>
                      <w:rFonts w:ascii="Palatino Linotype" w:eastAsia="Times New Roman" w:hAnsi="Palatino Linotype"/>
                      <w:b/>
                      <w:color w:val="800080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3D65" w:rsidRPr="007E3D65" w:rsidRDefault="007E3D65" w:rsidP="007E3D65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E3D6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29724</w:t>
                  </w:r>
                  <w:proofErr w:type="gramEnd"/>
                </w:p>
              </w:tc>
            </w:tr>
            <w:tr w:rsidR="007E3D65" w:rsidRPr="007E3D6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E3D65" w:rsidRPr="007E3D65" w:rsidRDefault="007E3D65" w:rsidP="007E3D6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E3D65" w:rsidRPr="007E3D6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YEM KATKI MADDELERİNİN DEĞERLENDİRME VE ONAY İŞLEMLERİ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İÇİN BAŞVURU DOSYASININ HAZIRLANMASI VE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SUNULMASI HAKKINDA TEBLİĞ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(TEBLİĞ NO: 2016/15)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(1) Bu Tebliğin amacı; hayvan beslemede kullanılacak olan yem katkı maddelerinin değerlendirme ve onay işlemleri için başvuru dosyasının hazırlanması ve sunulması ile ilgili hususları belirlemektir.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(2) Bu Tebliğ; hayvan beslemede kullanılacak olan yem katkı maddeleri başvuru dosyasının hazırlanması, değerlendirilmesi ve onayı için gerekli bilgi ve belgeler ile sunumuna ilişkin hususları kapsar.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11/6/2010</w:t>
                  </w:r>
                  <w:proofErr w:type="gram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tarihli ve 5996 sayılı Veteriner Hizmetleri, Bitki Sağlığı, Gıda ve Yem Kanunu ve 18/7/2013 tarihli ve 28711 sayılı Resmî </w:t>
                  </w:r>
                  <w:proofErr w:type="spell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yayımlanan Hayvan Beslemede Kullanılan Yem Katkı Maddeleri Hakkında Yönetmelik hükümlerine dayanılarak hazırlanmıştır.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Avrupa Birliği mevzuatına uyum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(1) Bu Tebliğ, Yem Katkı Maddelerinin Değerlendirme ve Onay İşlemleri İçin Başvuru Dosyasının Hazırlanması ve Sunulması Hakkında </w:t>
                  </w:r>
                  <w:proofErr w:type="gram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25/4/2008</w:t>
                  </w:r>
                  <w:proofErr w:type="gram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tarihli ve (AT) 429/2008/sayılı Avrupa Komisyon Tüzüğü dikkate alınarak Avrupa Birliği mevzuatına uyum çerçevesinde hazırlanmıştır.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Tanımlar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(1) Bu Tebliğde geçen;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a) Bakanlık: Gıda, Tarım ve Hayvancılık Bakanlığını,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b) Ev ve süs hayvanları ve gıda amaçlı olmayan diğer hayvanlar: Atlar hariç olmak üzere insanlar tarafından beslenen, yetiştirilen veya bakılan ancak insan tüketimi için kullanılmayan hayvanları,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c) Genel Müdürlük: Gıda ve Kontrol Genel Müdürlüğünü,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ç) Yaygın olmayan türler: Geviş getiren büyükbaş ve küçükbaş hayvanlar, kanatlı hayvanlar, domuz ve alabalıkgiller dışında kalan gıda amaçlı hayvanları,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d) Yaygın türler: Yaygın olmayan türler dışındaki gıda amaçlı hayvan türlerini,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e) Yönetmelik: </w:t>
                  </w:r>
                  <w:proofErr w:type="gram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18/7/2013</w:t>
                  </w:r>
                  <w:proofErr w:type="gram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tarihli ve 28711 sayılı Resmî </w:t>
                  </w:r>
                  <w:proofErr w:type="spell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yayımlanan Hayvan Beslemede Kullanılan Yem Katkı Maddeleri Hakkında Yönetmeliği,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Başvuru dosyalarının hazırlanması ve sunulması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(1) Yönetmeliğin 7 </w:t>
                  </w:r>
                  <w:proofErr w:type="spell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maddesi hükümlerine göre dosyanın hazırlanması ve sunulmasına ilişkin hususlar bu Tebliğin eklerinde belirlenmiştir. Bu hususlar başvuru formunu, başvuru sahibinin bilgilerini, genel ve özel gereklilikleri, etkinlik çalışmalarının minimum sürelerini içerir.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(2) Yem katkı maddesinin onay işlemi için başvuru sahibi tarafından hazırlanan dosya Ek-1’de yer alan başvuru formu ile birlikte Bakanlığa sunulur.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(3) Hazırlanan dosyanın, Yönetmeliğin 5 inci maddesinde belirtilen onay şartlarına uygun olması ve bu şartları sağlaması gerekir.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(4) Başvuru sahibi, Yönetmeliğin 17 </w:t>
                  </w:r>
                  <w:proofErr w:type="spell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maddesinin birinci fıkrası uyarınca dosyanın bazı bölümlerinin gizli tutulmasını talep etmesi halinde gerekçelerini de belirtmesi gerekir. Dosyada gizli tutulması istenen bölümler diğer belgelerden ayrı sunulur ve Yönetmeliğin 7 </w:t>
                  </w:r>
                  <w:proofErr w:type="spell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maddesinin ikinci fıkrasının (g) bendinde belirtilen özete </w:t>
                  </w:r>
                  <w:proofErr w:type="gram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edilmez.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(5) Bu Tebliğ ekinde yayımlanan başvuru dosyasının hazırlanması ve sunulmasına ilişkin hususlardan karşılanamayanlar varsa bilimsel gerekçeleri dosya ekinde sunulur. Bu gerekçeler Bakanlık tarafından Yönetmelik kapsamında değerlendirilir.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Değerlendirme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(1) Başvuru dosyasının değerlendirilmesi Yönetmeliğin 8 inci maddesi ve bu Tebliğin 5 inci maddesine göre belirlenen hususlar dikkate alınarak yapılır.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Onay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(1) Bakanlık, Yönetmeliğin 5 inci, 7 </w:t>
                  </w:r>
                  <w:proofErr w:type="spell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, 8 inci, 9 uncu, 10 uncu, 12 </w:t>
                  </w:r>
                  <w:proofErr w:type="spellStart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, 13 üncü ve 14 üncü maddelerine göre onay başvurusuna ilişkin kararını verir.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 xml:space="preserve">MADDE 8 – 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>(1) Bu Tebliğ yayımı tarihinde yürürlüğe girer.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ind w:firstLine="566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  <w:r w:rsidRPr="007E3D65"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>MADDE 9 –</w:t>
                  </w:r>
                  <w:r w:rsidRPr="007E3D65">
                    <w:rPr>
                      <w:rFonts w:eastAsia="Times New Roman"/>
                      <w:sz w:val="18"/>
                      <w:szCs w:val="18"/>
                      <w:lang w:eastAsia="tr-TR"/>
                    </w:rPr>
                    <w:t xml:space="preserve"> (1) Bu Tebliğ hükümlerini Gıda, Tarım ve Hayvancılık Bakanı yürütür.</w:t>
                  </w: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</w:p>
                <w:p w:rsidR="007E3D65" w:rsidRPr="007E3D65" w:rsidRDefault="007E3D65" w:rsidP="007E3D65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tr-TR"/>
                    </w:rPr>
                  </w:pPr>
                </w:p>
                <w:p w:rsidR="007E3D65" w:rsidRPr="007E3D65" w:rsidRDefault="00D164A6" w:rsidP="007E3D65">
                  <w:pPr>
                    <w:tabs>
                      <w:tab w:val="left" w:pos="566"/>
                    </w:tabs>
                    <w:spacing w:line="240" w:lineRule="exact"/>
                    <w:jc w:val="left"/>
                    <w:rPr>
                      <w:rFonts w:eastAsia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5" w:history="1">
                    <w:r w:rsidR="007E3D65" w:rsidRPr="007E3D65">
                      <w:rPr>
                        <w:rFonts w:eastAsia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Ekleri için tıklayınız.</w:t>
                    </w:r>
                  </w:hyperlink>
                </w:p>
                <w:p w:rsidR="007E3D65" w:rsidRPr="007E3D65" w:rsidRDefault="007E3D65" w:rsidP="007E3D6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E3D65" w:rsidRPr="007E3D65" w:rsidRDefault="007E3D65" w:rsidP="007E3D65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7E3D65" w:rsidRPr="007E3D65" w:rsidRDefault="007E3D65" w:rsidP="007E3D65">
      <w:pPr>
        <w:jc w:val="center"/>
        <w:rPr>
          <w:rFonts w:eastAsia="Times New Roman"/>
          <w:lang w:eastAsia="tr-TR"/>
        </w:rPr>
      </w:pPr>
    </w:p>
    <w:p w:rsidR="00630E4F" w:rsidRDefault="00630E4F"/>
    <w:sectPr w:rsidR="0063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65"/>
    <w:rsid w:val="00630E4F"/>
    <w:rsid w:val="007E3D65"/>
    <w:rsid w:val="00D164A6"/>
    <w:rsid w:val="00F6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E3D65"/>
    <w:rPr>
      <w:color w:val="0000FF"/>
      <w:u w:val="single"/>
    </w:rPr>
  </w:style>
  <w:style w:type="paragraph" w:styleId="NormalWeb">
    <w:name w:val="Normal (Web)"/>
    <w:basedOn w:val="Normal"/>
    <w:rsid w:val="007E3D65"/>
    <w:pPr>
      <w:spacing w:before="100" w:beforeAutospacing="1" w:after="100" w:afterAutospacing="1"/>
      <w:jc w:val="left"/>
    </w:pPr>
    <w:rPr>
      <w:rFonts w:eastAsia="Times New Roman"/>
      <w:lang w:eastAsia="tr-TR"/>
    </w:rPr>
  </w:style>
  <w:style w:type="paragraph" w:customStyle="1" w:styleId="Balk11pt">
    <w:name w:val="Başlık 11 pt"/>
    <w:rsid w:val="007E3D65"/>
    <w:pPr>
      <w:tabs>
        <w:tab w:val="left" w:pos="566"/>
      </w:tabs>
      <w:ind w:firstLine="566"/>
    </w:pPr>
    <w:rPr>
      <w:rFonts w:eastAsia="Times New Roman"/>
      <w:sz w:val="22"/>
      <w:szCs w:val="20"/>
      <w:u w:val="single"/>
      <w:lang w:eastAsia="tr-TR"/>
    </w:rPr>
  </w:style>
  <w:style w:type="paragraph" w:customStyle="1" w:styleId="OrtaBalkBold">
    <w:name w:val="Orta Başlık Bold"/>
    <w:rsid w:val="007E3D65"/>
    <w:pPr>
      <w:tabs>
        <w:tab w:val="left" w:pos="566"/>
      </w:tabs>
      <w:jc w:val="center"/>
    </w:pPr>
    <w:rPr>
      <w:rFonts w:eastAsia="Times New Roman"/>
      <w:b/>
      <w:sz w:val="19"/>
      <w:szCs w:val="20"/>
      <w:lang w:eastAsia="tr-TR"/>
    </w:rPr>
  </w:style>
  <w:style w:type="paragraph" w:customStyle="1" w:styleId="Metin">
    <w:name w:val="Metin"/>
    <w:rsid w:val="007E3D65"/>
    <w:pPr>
      <w:tabs>
        <w:tab w:val="left" w:pos="566"/>
      </w:tabs>
      <w:ind w:firstLine="566"/>
    </w:pPr>
    <w:rPr>
      <w:rFonts w:eastAsia="Times New Roman"/>
      <w:sz w:val="19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E3D65"/>
    <w:rPr>
      <w:color w:val="0000FF"/>
      <w:u w:val="single"/>
    </w:rPr>
  </w:style>
  <w:style w:type="paragraph" w:styleId="NormalWeb">
    <w:name w:val="Normal (Web)"/>
    <w:basedOn w:val="Normal"/>
    <w:rsid w:val="007E3D65"/>
    <w:pPr>
      <w:spacing w:before="100" w:beforeAutospacing="1" w:after="100" w:afterAutospacing="1"/>
      <w:jc w:val="left"/>
    </w:pPr>
    <w:rPr>
      <w:rFonts w:eastAsia="Times New Roman"/>
      <w:lang w:eastAsia="tr-TR"/>
    </w:rPr>
  </w:style>
  <w:style w:type="paragraph" w:customStyle="1" w:styleId="Balk11pt">
    <w:name w:val="Başlık 11 pt"/>
    <w:rsid w:val="007E3D65"/>
    <w:pPr>
      <w:tabs>
        <w:tab w:val="left" w:pos="566"/>
      </w:tabs>
      <w:ind w:firstLine="566"/>
    </w:pPr>
    <w:rPr>
      <w:rFonts w:eastAsia="Times New Roman"/>
      <w:sz w:val="22"/>
      <w:szCs w:val="20"/>
      <w:u w:val="single"/>
      <w:lang w:eastAsia="tr-TR"/>
    </w:rPr>
  </w:style>
  <w:style w:type="paragraph" w:customStyle="1" w:styleId="OrtaBalkBold">
    <w:name w:val="Orta Başlık Bold"/>
    <w:rsid w:val="007E3D65"/>
    <w:pPr>
      <w:tabs>
        <w:tab w:val="left" w:pos="566"/>
      </w:tabs>
      <w:jc w:val="center"/>
    </w:pPr>
    <w:rPr>
      <w:rFonts w:eastAsia="Times New Roman"/>
      <w:b/>
      <w:sz w:val="19"/>
      <w:szCs w:val="20"/>
      <w:lang w:eastAsia="tr-TR"/>
    </w:rPr>
  </w:style>
  <w:style w:type="paragraph" w:customStyle="1" w:styleId="Metin">
    <w:name w:val="Metin"/>
    <w:rsid w:val="007E3D65"/>
    <w:pPr>
      <w:tabs>
        <w:tab w:val="left" w:pos="566"/>
      </w:tabs>
      <w:ind w:firstLine="566"/>
    </w:pPr>
    <w:rPr>
      <w:rFonts w:eastAsia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6/05/20160527-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İdris ÇEVİK</dc:creator>
  <cp:lastModifiedBy>Şennur GÜMÜŞKAYA</cp:lastModifiedBy>
  <cp:revision>2</cp:revision>
  <dcterms:created xsi:type="dcterms:W3CDTF">2016-05-27T13:51:00Z</dcterms:created>
  <dcterms:modified xsi:type="dcterms:W3CDTF">2016-05-27T13:51:00Z</dcterms:modified>
</cp:coreProperties>
</file>