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Ind w:w="108" w:type="dxa"/>
        <w:tblLook w:val="01E0" w:firstRow="1" w:lastRow="1" w:firstColumn="1" w:lastColumn="1" w:noHBand="0" w:noVBand="0"/>
      </w:tblPr>
      <w:tblGrid>
        <w:gridCol w:w="9104"/>
      </w:tblGrid>
      <w:tr w:rsidR="00010188" w:rsidRPr="00010188" w:rsidTr="00010188">
        <w:trPr>
          <w:jc w:val="center"/>
        </w:trPr>
        <w:tc>
          <w:tcPr>
            <w:tcW w:w="9104" w:type="dxa"/>
            <w:hideMark/>
          </w:tcPr>
          <w:tbl>
            <w:tblPr>
              <w:tblW w:w="8789" w:type="dxa"/>
              <w:jc w:val="center"/>
              <w:tblLook w:val="01E0" w:firstRow="1" w:lastRow="1" w:firstColumn="1" w:lastColumn="1" w:noHBand="0" w:noVBand="0"/>
            </w:tblPr>
            <w:tblGrid>
              <w:gridCol w:w="2931"/>
              <w:gridCol w:w="2931"/>
              <w:gridCol w:w="2927"/>
            </w:tblGrid>
            <w:tr w:rsidR="00010188" w:rsidRPr="00010188">
              <w:trPr>
                <w:trHeight w:val="317"/>
                <w:jc w:val="center"/>
              </w:trPr>
              <w:tc>
                <w:tcPr>
                  <w:tcW w:w="2931" w:type="dxa"/>
                  <w:tcBorders>
                    <w:top w:val="nil"/>
                    <w:left w:val="nil"/>
                    <w:bottom w:val="single" w:sz="4" w:space="0" w:color="660066"/>
                    <w:right w:val="nil"/>
                  </w:tcBorders>
                  <w:vAlign w:val="center"/>
                  <w:hideMark/>
                </w:tcPr>
                <w:p w:rsidR="00010188" w:rsidRPr="00010188" w:rsidRDefault="00010188" w:rsidP="00010188">
                  <w:pPr>
                    <w:tabs>
                      <w:tab w:val="left" w:pos="567"/>
                      <w:tab w:val="center" w:pos="994"/>
                      <w:tab w:val="center" w:pos="3543"/>
                      <w:tab w:val="right" w:pos="6520"/>
                    </w:tabs>
                    <w:spacing w:after="0" w:line="240" w:lineRule="exact"/>
                    <w:rPr>
                      <w:rFonts w:ascii="Arial" w:eastAsia="Times New Roman" w:hAnsi="Arial" w:cs="Arial"/>
                      <w:sz w:val="16"/>
                      <w:szCs w:val="16"/>
                      <w:lang w:eastAsia="tr-TR"/>
                    </w:rPr>
                  </w:pPr>
                  <w:r w:rsidRPr="00010188">
                    <w:rPr>
                      <w:rFonts w:ascii="Arial" w:eastAsia="Times New Roman" w:hAnsi="Arial" w:cs="Arial"/>
                      <w:sz w:val="16"/>
                      <w:szCs w:val="16"/>
                      <w:lang w:eastAsia="tr-TR"/>
                    </w:rPr>
                    <w:t>27 Aralık 2017 ÇARŞAMBA</w:t>
                  </w:r>
                </w:p>
              </w:tc>
              <w:tc>
                <w:tcPr>
                  <w:tcW w:w="2931" w:type="dxa"/>
                  <w:tcBorders>
                    <w:top w:val="nil"/>
                    <w:left w:val="nil"/>
                    <w:bottom w:val="single" w:sz="4" w:space="0" w:color="660066"/>
                    <w:right w:val="nil"/>
                  </w:tcBorders>
                  <w:vAlign w:val="center"/>
                  <w:hideMark/>
                </w:tcPr>
                <w:p w:rsidR="00010188" w:rsidRPr="00010188" w:rsidRDefault="00010188" w:rsidP="00010188">
                  <w:pPr>
                    <w:tabs>
                      <w:tab w:val="left" w:pos="567"/>
                      <w:tab w:val="center" w:pos="994"/>
                      <w:tab w:val="center" w:pos="3543"/>
                      <w:tab w:val="right" w:pos="6520"/>
                    </w:tabs>
                    <w:spacing w:after="0" w:line="240" w:lineRule="exact"/>
                    <w:jc w:val="center"/>
                    <w:rPr>
                      <w:rFonts w:ascii="Palatino Linotype" w:eastAsia="Times New Roman" w:hAnsi="Palatino Linotype" w:cs="Times New Roman"/>
                      <w:b/>
                      <w:color w:val="800080"/>
                      <w:sz w:val="24"/>
                      <w:szCs w:val="24"/>
                      <w:lang w:eastAsia="tr-TR"/>
                    </w:rPr>
                  </w:pPr>
                  <w:r w:rsidRPr="00010188">
                    <w:rPr>
                      <w:rFonts w:ascii="Palatino Linotype" w:eastAsia="Times New Roman" w:hAnsi="Palatino Linotype" w:cs="Times New Roman"/>
                      <w:b/>
                      <w:color w:val="800080"/>
                      <w:sz w:val="24"/>
                      <w:szCs w:val="24"/>
                      <w:lang w:eastAsia="tr-TR"/>
                    </w:rPr>
                    <w:t>Resmî Gazete</w:t>
                  </w:r>
                </w:p>
              </w:tc>
              <w:tc>
                <w:tcPr>
                  <w:tcW w:w="2927" w:type="dxa"/>
                  <w:tcBorders>
                    <w:top w:val="nil"/>
                    <w:left w:val="nil"/>
                    <w:bottom w:val="single" w:sz="4" w:space="0" w:color="660066"/>
                    <w:right w:val="nil"/>
                  </w:tcBorders>
                  <w:vAlign w:val="center"/>
                  <w:hideMark/>
                </w:tcPr>
                <w:p w:rsidR="00010188" w:rsidRPr="00010188" w:rsidRDefault="00010188" w:rsidP="00010188">
                  <w:pPr>
                    <w:spacing w:before="100" w:beforeAutospacing="1" w:after="100" w:afterAutospacing="1" w:line="240" w:lineRule="auto"/>
                    <w:jc w:val="right"/>
                    <w:rPr>
                      <w:rFonts w:ascii="Arial" w:eastAsia="Times New Roman" w:hAnsi="Arial" w:cs="Arial"/>
                      <w:sz w:val="16"/>
                      <w:szCs w:val="16"/>
                      <w:lang w:eastAsia="tr-TR"/>
                    </w:rPr>
                  </w:pPr>
                  <w:proofErr w:type="gramStart"/>
                  <w:r w:rsidRPr="00010188">
                    <w:rPr>
                      <w:rFonts w:ascii="Arial" w:eastAsia="Times New Roman" w:hAnsi="Arial" w:cs="Arial"/>
                      <w:sz w:val="16"/>
                      <w:szCs w:val="16"/>
                      <w:lang w:eastAsia="tr-TR"/>
                    </w:rPr>
                    <w:t>Sayı : 30283</w:t>
                  </w:r>
                  <w:proofErr w:type="gramEnd"/>
                </w:p>
              </w:tc>
            </w:tr>
            <w:tr w:rsidR="00010188" w:rsidRPr="00010188">
              <w:trPr>
                <w:trHeight w:val="480"/>
                <w:jc w:val="center"/>
              </w:trPr>
              <w:tc>
                <w:tcPr>
                  <w:tcW w:w="8789" w:type="dxa"/>
                  <w:gridSpan w:val="3"/>
                  <w:vAlign w:val="center"/>
                  <w:hideMark/>
                </w:tcPr>
                <w:p w:rsidR="00010188" w:rsidRPr="00010188" w:rsidRDefault="00010188" w:rsidP="00010188">
                  <w:pPr>
                    <w:spacing w:before="100" w:beforeAutospacing="1" w:after="100" w:afterAutospacing="1" w:line="240" w:lineRule="auto"/>
                    <w:jc w:val="center"/>
                    <w:rPr>
                      <w:rFonts w:ascii="Arial" w:eastAsia="Times New Roman" w:hAnsi="Arial" w:cs="Arial"/>
                      <w:b/>
                      <w:color w:val="000080"/>
                      <w:sz w:val="18"/>
                      <w:szCs w:val="18"/>
                      <w:lang w:eastAsia="tr-TR"/>
                    </w:rPr>
                  </w:pPr>
                  <w:r w:rsidRPr="00010188">
                    <w:rPr>
                      <w:rFonts w:ascii="Arial" w:eastAsia="Times New Roman" w:hAnsi="Arial" w:cs="Arial"/>
                      <w:b/>
                      <w:color w:val="000080"/>
                      <w:sz w:val="18"/>
                      <w:szCs w:val="18"/>
                      <w:lang w:eastAsia="tr-TR"/>
                    </w:rPr>
                    <w:t>TEBLİĞ</w:t>
                  </w:r>
                </w:p>
              </w:tc>
            </w:tr>
            <w:tr w:rsidR="00010188" w:rsidRPr="00010188">
              <w:trPr>
                <w:trHeight w:val="480"/>
                <w:jc w:val="center"/>
              </w:trPr>
              <w:tc>
                <w:tcPr>
                  <w:tcW w:w="8789" w:type="dxa"/>
                  <w:gridSpan w:val="3"/>
                  <w:vAlign w:val="center"/>
                </w:tcPr>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sz w:val="18"/>
                      <w:szCs w:val="18"/>
                      <w:u w:val="single"/>
                      <w:lang w:eastAsia="tr-TR"/>
                    </w:rPr>
                  </w:pPr>
                  <w:r w:rsidRPr="00010188">
                    <w:rPr>
                      <w:rFonts w:ascii="Times New Roman" w:eastAsia="Times New Roman" w:hAnsi="Times New Roman" w:cs="Times New Roman"/>
                      <w:sz w:val="18"/>
                      <w:szCs w:val="18"/>
                      <w:u w:val="single"/>
                      <w:lang w:eastAsia="tr-TR"/>
                    </w:rPr>
                    <w:t>Ekonomi Bakanlığından:</w:t>
                  </w:r>
                </w:p>
                <w:p w:rsidR="00010188" w:rsidRPr="00010188" w:rsidRDefault="00010188" w:rsidP="00010188">
                  <w:pPr>
                    <w:tabs>
                      <w:tab w:val="left" w:pos="566"/>
                    </w:tabs>
                    <w:spacing w:before="56" w:after="0" w:line="240" w:lineRule="exact"/>
                    <w:jc w:val="center"/>
                    <w:rPr>
                      <w:rFonts w:ascii="Times New Roman" w:eastAsia="Times New Roman" w:hAnsi="Times New Roman" w:cs="Times New Roman"/>
                      <w:b/>
                      <w:sz w:val="18"/>
                      <w:szCs w:val="18"/>
                      <w:lang w:eastAsia="tr-TR"/>
                    </w:rPr>
                  </w:pPr>
                  <w:bookmarkStart w:id="0" w:name="_GoBack"/>
                  <w:r w:rsidRPr="00010188">
                    <w:rPr>
                      <w:rFonts w:ascii="Times New Roman" w:eastAsia="Times New Roman" w:hAnsi="Times New Roman" w:cs="Times New Roman"/>
                      <w:b/>
                      <w:sz w:val="18"/>
                      <w:szCs w:val="18"/>
                      <w:lang w:eastAsia="tr-TR"/>
                    </w:rPr>
                    <w:t>İTHALAT İŞLEMLERİNDE ELEKTRONİK BAŞVURU SİSTEMİ TEBLİĞİ</w:t>
                  </w:r>
                </w:p>
                <w:bookmarkEnd w:id="0"/>
                <w:p w:rsidR="00010188" w:rsidRPr="00010188" w:rsidRDefault="00010188" w:rsidP="00010188">
                  <w:pPr>
                    <w:tabs>
                      <w:tab w:val="left" w:pos="566"/>
                    </w:tabs>
                    <w:spacing w:after="170" w:line="240" w:lineRule="exact"/>
                    <w:jc w:val="center"/>
                    <w:rPr>
                      <w:rFonts w:ascii="Times New Roman" w:eastAsia="Times New Roman" w:hAnsi="Times New Roman" w:cs="Times New Roman"/>
                      <w:b/>
                      <w:sz w:val="18"/>
                      <w:szCs w:val="18"/>
                      <w:lang w:eastAsia="tr-TR"/>
                    </w:rPr>
                  </w:pPr>
                  <w:r w:rsidRPr="00010188">
                    <w:rPr>
                      <w:rFonts w:ascii="Times New Roman" w:eastAsia="Times New Roman" w:hAnsi="Times New Roman" w:cs="Times New Roman"/>
                      <w:b/>
                      <w:sz w:val="18"/>
                      <w:szCs w:val="18"/>
                      <w:lang w:eastAsia="tr-TR"/>
                    </w:rPr>
                    <w:t>(İTHALAT: 2017/3)</w:t>
                  </w:r>
                </w:p>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010188">
                    <w:rPr>
                      <w:rFonts w:ascii="Times New Roman" w:eastAsia="Times New Roman" w:hAnsi="Times New Roman" w:cs="Times New Roman"/>
                      <w:b/>
                      <w:sz w:val="18"/>
                      <w:szCs w:val="18"/>
                      <w:lang w:eastAsia="tr-TR"/>
                    </w:rPr>
                    <w:t>Amaç ve kapsam</w:t>
                  </w:r>
                </w:p>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10188">
                    <w:rPr>
                      <w:rFonts w:ascii="Times New Roman" w:eastAsia="Times New Roman" w:hAnsi="Times New Roman" w:cs="Times New Roman"/>
                      <w:b/>
                      <w:sz w:val="18"/>
                      <w:szCs w:val="18"/>
                      <w:lang w:eastAsia="tr-TR"/>
                    </w:rPr>
                    <w:t>MADDE 1 –</w:t>
                  </w:r>
                  <w:r w:rsidRPr="00010188">
                    <w:rPr>
                      <w:rFonts w:ascii="Times New Roman" w:eastAsia="Times New Roman" w:hAnsi="Times New Roman" w:cs="Times New Roman"/>
                      <w:sz w:val="18"/>
                      <w:szCs w:val="18"/>
                      <w:lang w:eastAsia="tr-TR"/>
                    </w:rPr>
                    <w:t xml:space="preserve"> (1) Bu Tebliğin amacı, Ekonomi Bakanlığı İthalat Genel Müdürlüğünce yürütülen ithalat işlemlerinde, bu işlemlere başvuruda bulunacak firmaların başvurularının elektronik ortamda yapılmasına ve firmalar adına işlem yapacak kullanıcıların yetkilendirilmesine dair usul ve esasları belirlemektir.</w:t>
                  </w:r>
                </w:p>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010188">
                    <w:rPr>
                      <w:rFonts w:ascii="Times New Roman" w:eastAsia="Times New Roman" w:hAnsi="Times New Roman" w:cs="Times New Roman"/>
                      <w:b/>
                      <w:sz w:val="18"/>
                      <w:szCs w:val="18"/>
                      <w:lang w:eastAsia="tr-TR"/>
                    </w:rPr>
                    <w:t>Dayanak</w:t>
                  </w:r>
                </w:p>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10188">
                    <w:rPr>
                      <w:rFonts w:ascii="Times New Roman" w:eastAsia="Times New Roman" w:hAnsi="Times New Roman" w:cs="Times New Roman"/>
                      <w:b/>
                      <w:sz w:val="18"/>
                      <w:szCs w:val="18"/>
                      <w:lang w:eastAsia="tr-TR"/>
                    </w:rPr>
                    <w:t xml:space="preserve">MADDE 2 – </w:t>
                  </w:r>
                  <w:r w:rsidRPr="00010188">
                    <w:rPr>
                      <w:rFonts w:ascii="Times New Roman" w:eastAsia="Times New Roman" w:hAnsi="Times New Roman" w:cs="Times New Roman"/>
                      <w:sz w:val="18"/>
                      <w:szCs w:val="18"/>
                      <w:lang w:eastAsia="tr-TR"/>
                    </w:rPr>
                    <w:t xml:space="preserve">(1) Bu Tebliğ, </w:t>
                  </w:r>
                  <w:proofErr w:type="gramStart"/>
                  <w:r w:rsidRPr="00010188">
                    <w:rPr>
                      <w:rFonts w:ascii="Times New Roman" w:eastAsia="Times New Roman" w:hAnsi="Times New Roman" w:cs="Times New Roman"/>
                      <w:sz w:val="18"/>
                      <w:szCs w:val="18"/>
                      <w:lang w:eastAsia="tr-TR"/>
                    </w:rPr>
                    <w:t>20/12/1995</w:t>
                  </w:r>
                  <w:proofErr w:type="gramEnd"/>
                  <w:r w:rsidRPr="00010188">
                    <w:rPr>
                      <w:rFonts w:ascii="Times New Roman" w:eastAsia="Times New Roman" w:hAnsi="Times New Roman" w:cs="Times New Roman"/>
                      <w:sz w:val="18"/>
                      <w:szCs w:val="18"/>
                      <w:lang w:eastAsia="tr-TR"/>
                    </w:rPr>
                    <w:t xml:space="preserve"> tarihli ve 95/7606 sayılı İthalat Rejimi Kararının 2 </w:t>
                  </w:r>
                  <w:proofErr w:type="spellStart"/>
                  <w:r w:rsidRPr="00010188">
                    <w:rPr>
                      <w:rFonts w:ascii="Times New Roman" w:eastAsia="Times New Roman" w:hAnsi="Times New Roman" w:cs="Times New Roman"/>
                      <w:sz w:val="18"/>
                      <w:szCs w:val="18"/>
                      <w:lang w:eastAsia="tr-TR"/>
                    </w:rPr>
                    <w:t>nci</w:t>
                  </w:r>
                  <w:proofErr w:type="spellEnd"/>
                  <w:r w:rsidRPr="00010188">
                    <w:rPr>
                      <w:rFonts w:ascii="Times New Roman" w:eastAsia="Times New Roman" w:hAnsi="Times New Roman" w:cs="Times New Roman"/>
                      <w:sz w:val="18"/>
                      <w:szCs w:val="18"/>
                      <w:lang w:eastAsia="tr-TR"/>
                    </w:rPr>
                    <w:t xml:space="preserve"> maddesine istinaden düzenlenmiştir.</w:t>
                  </w:r>
                </w:p>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010188">
                    <w:rPr>
                      <w:rFonts w:ascii="Times New Roman" w:eastAsia="Times New Roman" w:hAnsi="Times New Roman" w:cs="Times New Roman"/>
                      <w:b/>
                      <w:sz w:val="18"/>
                      <w:szCs w:val="18"/>
                      <w:lang w:eastAsia="tr-TR"/>
                    </w:rPr>
                    <w:t>Tanımlar</w:t>
                  </w:r>
                </w:p>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10188">
                    <w:rPr>
                      <w:rFonts w:ascii="Times New Roman" w:eastAsia="Times New Roman" w:hAnsi="Times New Roman" w:cs="Times New Roman"/>
                      <w:b/>
                      <w:sz w:val="18"/>
                      <w:szCs w:val="18"/>
                      <w:lang w:eastAsia="tr-TR"/>
                    </w:rPr>
                    <w:t xml:space="preserve">MADDE 3 – </w:t>
                  </w:r>
                  <w:r w:rsidRPr="00010188">
                    <w:rPr>
                      <w:rFonts w:ascii="Times New Roman" w:eastAsia="Times New Roman" w:hAnsi="Times New Roman" w:cs="Times New Roman"/>
                      <w:sz w:val="18"/>
                      <w:szCs w:val="18"/>
                      <w:lang w:eastAsia="tr-TR"/>
                    </w:rPr>
                    <w:t>(1) Bu Tebliğde geçen;</w:t>
                  </w:r>
                </w:p>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10188">
                    <w:rPr>
                      <w:rFonts w:ascii="Times New Roman" w:eastAsia="Times New Roman" w:hAnsi="Times New Roman" w:cs="Times New Roman"/>
                      <w:sz w:val="18"/>
                      <w:szCs w:val="18"/>
                      <w:lang w:eastAsia="tr-TR"/>
                    </w:rPr>
                    <w:t>a) Bakanlık: Ekonomi Bakanlığını,</w:t>
                  </w:r>
                </w:p>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10188">
                    <w:rPr>
                      <w:rFonts w:ascii="Times New Roman" w:eastAsia="Times New Roman" w:hAnsi="Times New Roman" w:cs="Times New Roman"/>
                      <w:sz w:val="18"/>
                      <w:szCs w:val="18"/>
                      <w:lang w:eastAsia="tr-TR"/>
                    </w:rPr>
                    <w:t>b) Elektronik imza: Elektronik imza mevzuatında tanımlanan şekilde başka bir elektronik veriye eklenen veya elektronik veriyle mantıksal bağlantısı bulunan ve kimlik doğrulama amacıyla kullanılan elektronik veriyi,</w:t>
                  </w:r>
                </w:p>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10188">
                    <w:rPr>
                      <w:rFonts w:ascii="Times New Roman" w:eastAsia="Times New Roman" w:hAnsi="Times New Roman" w:cs="Times New Roman"/>
                      <w:sz w:val="18"/>
                      <w:szCs w:val="18"/>
                      <w:lang w:eastAsia="tr-TR"/>
                    </w:rPr>
                    <w:t xml:space="preserve">c) Elektronik imza mevzuatı: </w:t>
                  </w:r>
                  <w:proofErr w:type="gramStart"/>
                  <w:r w:rsidRPr="00010188">
                    <w:rPr>
                      <w:rFonts w:ascii="Times New Roman" w:eastAsia="Times New Roman" w:hAnsi="Times New Roman" w:cs="Times New Roman"/>
                      <w:sz w:val="18"/>
                      <w:szCs w:val="18"/>
                      <w:lang w:eastAsia="tr-TR"/>
                    </w:rPr>
                    <w:t>23/1/2004</w:t>
                  </w:r>
                  <w:proofErr w:type="gramEnd"/>
                  <w:r w:rsidRPr="00010188">
                    <w:rPr>
                      <w:rFonts w:ascii="Times New Roman" w:eastAsia="Times New Roman" w:hAnsi="Times New Roman" w:cs="Times New Roman"/>
                      <w:sz w:val="18"/>
                      <w:szCs w:val="18"/>
                      <w:lang w:eastAsia="tr-TR"/>
                    </w:rPr>
                    <w:t xml:space="preserve"> tarihli ve 25355 sayılı Resmî </w:t>
                  </w:r>
                  <w:proofErr w:type="spellStart"/>
                  <w:r w:rsidRPr="00010188">
                    <w:rPr>
                      <w:rFonts w:ascii="Times New Roman" w:eastAsia="Times New Roman" w:hAnsi="Times New Roman" w:cs="Times New Roman"/>
                      <w:sz w:val="18"/>
                      <w:szCs w:val="18"/>
                      <w:lang w:eastAsia="tr-TR"/>
                    </w:rPr>
                    <w:t>Gazete’de</w:t>
                  </w:r>
                  <w:proofErr w:type="spellEnd"/>
                  <w:r w:rsidRPr="00010188">
                    <w:rPr>
                      <w:rFonts w:ascii="Times New Roman" w:eastAsia="Times New Roman" w:hAnsi="Times New Roman" w:cs="Times New Roman"/>
                      <w:sz w:val="18"/>
                      <w:szCs w:val="18"/>
                      <w:lang w:eastAsia="tr-TR"/>
                    </w:rPr>
                    <w:t xml:space="preserve"> yayımlanan 5070 sayılı Elektronik İmza Kanunu ile bu Kanuna istinaden yürürlüğe konulan diğer mevzuatı,</w:t>
                  </w:r>
                </w:p>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10188">
                    <w:rPr>
                      <w:rFonts w:ascii="Times New Roman" w:eastAsia="Times New Roman" w:hAnsi="Times New Roman" w:cs="Times New Roman"/>
                      <w:sz w:val="18"/>
                      <w:szCs w:val="18"/>
                      <w:lang w:eastAsia="tr-TR"/>
                    </w:rPr>
                    <w:t>ç) Elektronik ortam: İthalata ilişkin lisans, uygunluk, izin ve diğer her türlü belge düzenlenmesi için gerçekleştirilen işlemlerin yürütüldüğü web tabanlı uygulamayı,</w:t>
                  </w:r>
                </w:p>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10188">
                    <w:rPr>
                      <w:rFonts w:ascii="Times New Roman" w:eastAsia="Times New Roman" w:hAnsi="Times New Roman" w:cs="Times New Roman"/>
                      <w:sz w:val="18"/>
                      <w:szCs w:val="18"/>
                      <w:lang w:eastAsia="tr-TR"/>
                    </w:rPr>
                    <w:t>d) Elektronik sertifika hizmet sağlayıcıları: Elektronik imza mevzuatı uyarınca Bilgi Teknolojileri ve İletişim Kurumuna bildirimini yapmış, elektronik sertifika, zaman damgası ve elektronik imzalarla ilgili hizmetleri sağlayan kamu kurum ve kuruluşları ile gerçek veya özel hukuk tüzel kişilerini,</w:t>
                  </w:r>
                </w:p>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10188">
                    <w:rPr>
                      <w:rFonts w:ascii="Times New Roman" w:eastAsia="Times New Roman" w:hAnsi="Times New Roman" w:cs="Times New Roman"/>
                      <w:sz w:val="18"/>
                      <w:szCs w:val="18"/>
                      <w:lang w:eastAsia="tr-TR"/>
                    </w:rPr>
                    <w:t>e) Firma: İthalat işlemlerine başvuruda bulunacak tüm gerçek ve tüzel kişiler ile tüzel kişilik statüsüne sahip olmamakla birlikte yürürlükteki mevzuat hükümlerine istinaden hukuki tasarruf yapma yetkisi tanınan kişiler ortaklıklarını,</w:t>
                  </w:r>
                </w:p>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10188">
                    <w:rPr>
                      <w:rFonts w:ascii="Times New Roman" w:eastAsia="Times New Roman" w:hAnsi="Times New Roman" w:cs="Times New Roman"/>
                      <w:sz w:val="18"/>
                      <w:szCs w:val="18"/>
                      <w:lang w:eastAsia="tr-TR"/>
                    </w:rPr>
                    <w:t>f) Genel Müdürlük: Ekonomi Bakanlığı İthalat Genel Müdürlüğünü,</w:t>
                  </w:r>
                </w:p>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10188">
                    <w:rPr>
                      <w:rFonts w:ascii="Times New Roman" w:eastAsia="Times New Roman" w:hAnsi="Times New Roman" w:cs="Times New Roman"/>
                      <w:sz w:val="18"/>
                      <w:szCs w:val="18"/>
                      <w:lang w:eastAsia="tr-TR"/>
                    </w:rPr>
                    <w:t>g) İthalat işlemleri: Genel Müdürlükçe elektronik ortamda gerçekleştirilmesi uygun görülen ithalata ilişkin lisans, uygunluk, izin ve diğer her türlü belge düzenlenmesine esas işlemleri,</w:t>
                  </w:r>
                </w:p>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10188">
                    <w:rPr>
                      <w:rFonts w:ascii="Times New Roman" w:eastAsia="Times New Roman" w:hAnsi="Times New Roman" w:cs="Times New Roman"/>
                      <w:sz w:val="18"/>
                      <w:szCs w:val="18"/>
                      <w:lang w:eastAsia="tr-TR"/>
                    </w:rPr>
                    <w:t xml:space="preserve">ğ) </w:t>
                  </w:r>
                  <w:proofErr w:type="gramStart"/>
                  <w:r w:rsidRPr="00010188">
                    <w:rPr>
                      <w:rFonts w:ascii="Times New Roman" w:eastAsia="Times New Roman" w:hAnsi="Times New Roman" w:cs="Times New Roman"/>
                      <w:sz w:val="18"/>
                      <w:szCs w:val="18"/>
                      <w:lang w:eastAsia="tr-TR"/>
                    </w:rPr>
                    <w:t>Kamu kurumu</w:t>
                  </w:r>
                  <w:proofErr w:type="gramEnd"/>
                  <w:r w:rsidRPr="00010188">
                    <w:rPr>
                      <w:rFonts w:ascii="Times New Roman" w:eastAsia="Times New Roman" w:hAnsi="Times New Roman" w:cs="Times New Roman"/>
                      <w:sz w:val="18"/>
                      <w:szCs w:val="18"/>
                      <w:lang w:eastAsia="tr-TR"/>
                    </w:rPr>
                    <w:t xml:space="preserve"> kullanıcısı: İthalat işlemlerinde görev alan ve Bakanlık personeli hariç olmak üzere kamu kurumları adına işlem yapan kişileri,</w:t>
                  </w:r>
                </w:p>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10188">
                    <w:rPr>
                      <w:rFonts w:ascii="Times New Roman" w:eastAsia="Times New Roman" w:hAnsi="Times New Roman" w:cs="Times New Roman"/>
                      <w:sz w:val="18"/>
                      <w:szCs w:val="18"/>
                      <w:lang w:eastAsia="tr-TR"/>
                    </w:rPr>
                    <w:t>h) Kullanıcı: İthalat işlemlerinde firmalar adına işlem yapmak üzere yetkilendirilmiş kişileri,</w:t>
                  </w:r>
                </w:p>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10188">
                    <w:rPr>
                      <w:rFonts w:ascii="Times New Roman" w:eastAsia="Times New Roman" w:hAnsi="Times New Roman" w:cs="Times New Roman"/>
                      <w:sz w:val="18"/>
                      <w:szCs w:val="18"/>
                      <w:lang w:eastAsia="tr-TR"/>
                    </w:rPr>
                    <w:t>ı) Mobil elektronik imza: Bakanlık ile mobil elektronik imza kullanımına ilişkin sözleşmesi bulunan GSM operatörlerince verilen SIM kartını kullanarak oluşturulan ve 5070 sayılı Elektronik İmza Kanununda tanımlanan güvenli elektronik imza niteliğindeki elektronik sertifikayı,</w:t>
                  </w:r>
                </w:p>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10188">
                    <w:rPr>
                      <w:rFonts w:ascii="Times New Roman" w:eastAsia="Times New Roman" w:hAnsi="Times New Roman" w:cs="Times New Roman"/>
                      <w:sz w:val="18"/>
                      <w:szCs w:val="18"/>
                      <w:lang w:eastAsia="tr-TR"/>
                    </w:rPr>
                    <w:t>i) Nitelikli elektronik sertifika: 5070 sayılı Elektronik İmza Kanununun 9 uncu maddesinde sayılan nitelikleri taşıyan elektronik sertifikayı,</w:t>
                  </w:r>
                </w:p>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gramStart"/>
                  <w:r w:rsidRPr="00010188">
                    <w:rPr>
                      <w:rFonts w:ascii="Times New Roman" w:eastAsia="Times New Roman" w:hAnsi="Times New Roman" w:cs="Times New Roman"/>
                      <w:sz w:val="18"/>
                      <w:szCs w:val="18"/>
                      <w:lang w:eastAsia="tr-TR"/>
                    </w:rPr>
                    <w:t>ifade</w:t>
                  </w:r>
                  <w:proofErr w:type="gramEnd"/>
                  <w:r w:rsidRPr="00010188">
                    <w:rPr>
                      <w:rFonts w:ascii="Times New Roman" w:eastAsia="Times New Roman" w:hAnsi="Times New Roman" w:cs="Times New Roman"/>
                      <w:sz w:val="18"/>
                      <w:szCs w:val="18"/>
                      <w:lang w:eastAsia="tr-TR"/>
                    </w:rPr>
                    <w:t xml:space="preserve"> eder.</w:t>
                  </w:r>
                </w:p>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010188">
                    <w:rPr>
                      <w:rFonts w:ascii="Times New Roman" w:eastAsia="Times New Roman" w:hAnsi="Times New Roman" w:cs="Times New Roman"/>
                      <w:b/>
                      <w:sz w:val="18"/>
                      <w:szCs w:val="18"/>
                      <w:lang w:eastAsia="tr-TR"/>
                    </w:rPr>
                    <w:t>Nitelikli elektronik sertifika veya mobil elektronik imza temini</w:t>
                  </w:r>
                </w:p>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10188">
                    <w:rPr>
                      <w:rFonts w:ascii="Times New Roman" w:eastAsia="Times New Roman" w:hAnsi="Times New Roman" w:cs="Times New Roman"/>
                      <w:b/>
                      <w:sz w:val="18"/>
                      <w:szCs w:val="18"/>
                      <w:lang w:eastAsia="tr-TR"/>
                    </w:rPr>
                    <w:t xml:space="preserve">MADDE 4 – </w:t>
                  </w:r>
                  <w:r w:rsidRPr="00010188">
                    <w:rPr>
                      <w:rFonts w:ascii="Times New Roman" w:eastAsia="Times New Roman" w:hAnsi="Times New Roman" w:cs="Times New Roman"/>
                      <w:sz w:val="18"/>
                      <w:szCs w:val="18"/>
                      <w:lang w:eastAsia="tr-TR"/>
                    </w:rPr>
                    <w:t>(1) Kullanıcılar, elektronik sertifika hizmet sağlayıcılarından alınan nitelikli elektronik sertifikaya ya da mobil elektronik imzaya sahip olmak zorundadır.</w:t>
                  </w:r>
                </w:p>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10188">
                    <w:rPr>
                      <w:rFonts w:ascii="Times New Roman" w:eastAsia="Times New Roman" w:hAnsi="Times New Roman" w:cs="Times New Roman"/>
                      <w:sz w:val="18"/>
                      <w:szCs w:val="18"/>
                      <w:lang w:eastAsia="tr-TR"/>
                    </w:rPr>
                    <w:t>(2) Başka amaçlarla daha önce temin edilen ve geçerlik süresi dolmamış veya yenilenmiş nitelikli elektronik sertifikalar ya da mobil elektronik imzalar ithalat işlemleri için kullanılabilir.</w:t>
                  </w:r>
                </w:p>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010188">
                    <w:rPr>
                      <w:rFonts w:ascii="Times New Roman" w:eastAsia="Times New Roman" w:hAnsi="Times New Roman" w:cs="Times New Roman"/>
                      <w:b/>
                      <w:sz w:val="18"/>
                      <w:szCs w:val="18"/>
                      <w:lang w:eastAsia="tr-TR"/>
                    </w:rPr>
                    <w:t>Yetkilendirme başvurusu ve onayı</w:t>
                  </w:r>
                </w:p>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10188">
                    <w:rPr>
                      <w:rFonts w:ascii="Times New Roman" w:eastAsia="Times New Roman" w:hAnsi="Times New Roman" w:cs="Times New Roman"/>
                      <w:b/>
                      <w:sz w:val="18"/>
                      <w:szCs w:val="18"/>
                      <w:lang w:eastAsia="tr-TR"/>
                    </w:rPr>
                    <w:t xml:space="preserve">MADDE 5 – </w:t>
                  </w:r>
                  <w:r w:rsidRPr="00010188">
                    <w:rPr>
                      <w:rFonts w:ascii="Times New Roman" w:eastAsia="Times New Roman" w:hAnsi="Times New Roman" w:cs="Times New Roman"/>
                      <w:sz w:val="18"/>
                      <w:szCs w:val="18"/>
                      <w:lang w:eastAsia="tr-TR"/>
                    </w:rPr>
                    <w:t>(1) Firmalar adına ithalat işlemlerine başvuruları elektronik ortamda yapacak kullanıcıları yetkilendirmek üzere aşağıdaki belgeler hazırlanır:</w:t>
                  </w:r>
                </w:p>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10188">
                    <w:rPr>
                      <w:rFonts w:ascii="Times New Roman" w:eastAsia="Times New Roman" w:hAnsi="Times New Roman" w:cs="Times New Roman"/>
                      <w:sz w:val="18"/>
                      <w:szCs w:val="18"/>
                      <w:lang w:eastAsia="tr-TR"/>
                    </w:rPr>
                    <w:t>a) Dilekçe: Bakanlık internet sayfasındaki “E-İmza Uygulamaları” bölümünde yer alan örneğe uygun, firmayı temsil ve ilzama yetkili kişi veya kişilerce imzalanmış ve Genel Müdürlüğe muhatap dilekçe,</w:t>
                  </w:r>
                </w:p>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10188">
                    <w:rPr>
                      <w:rFonts w:ascii="Times New Roman" w:eastAsia="Times New Roman" w:hAnsi="Times New Roman" w:cs="Times New Roman"/>
                      <w:sz w:val="18"/>
                      <w:szCs w:val="18"/>
                      <w:lang w:eastAsia="tr-TR"/>
                    </w:rPr>
                    <w:t>b) Firma Tanımlama Formu: Bakanlık internet sayfasındaki “E-İmza Uygulamaları” bölümünde yer alan örneğe uygun ve firmayı temsil ve ilzama yetkili kişi veya kişilerce imzalanmış form,</w:t>
                  </w:r>
                </w:p>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10188">
                    <w:rPr>
                      <w:rFonts w:ascii="Times New Roman" w:eastAsia="Times New Roman" w:hAnsi="Times New Roman" w:cs="Times New Roman"/>
                      <w:sz w:val="18"/>
                      <w:szCs w:val="18"/>
                      <w:lang w:eastAsia="tr-TR"/>
                    </w:rPr>
                    <w:t>c) İmza Sirküleri: Ana sözleşmede firmayı temsil ve ilzama yetkili kişi veya kişiler için düzenlenmiş imza sirkülerinin aslı veya noter onaylı örneği,</w:t>
                  </w:r>
                </w:p>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10188">
                    <w:rPr>
                      <w:rFonts w:ascii="Times New Roman" w:eastAsia="Times New Roman" w:hAnsi="Times New Roman" w:cs="Times New Roman"/>
                      <w:sz w:val="18"/>
                      <w:szCs w:val="18"/>
                      <w:lang w:eastAsia="tr-TR"/>
                    </w:rPr>
                    <w:t>ç) Taahhütname: Bakanlık internet sayfasındaki “E-İmza Uygulamaları” bölümünde yer alan örneğe uygun, firmayı temsil ve ilzama yetkili kişi veya kişilerce imzalanmış ve Türkçe olarak noterde her bir kişi için düzenlenmiş taahhütnamenin aslı.</w:t>
                  </w:r>
                </w:p>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10188">
                    <w:rPr>
                      <w:rFonts w:ascii="Times New Roman" w:eastAsia="Times New Roman" w:hAnsi="Times New Roman" w:cs="Times New Roman"/>
                      <w:sz w:val="18"/>
                      <w:szCs w:val="18"/>
                      <w:lang w:eastAsia="tr-TR"/>
                    </w:rPr>
                    <w:lastRenderedPageBreak/>
                    <w:t>(2) Birinci fıkrada sayılan belgelerin renkli olarak taranmış “.</w:t>
                  </w:r>
                  <w:proofErr w:type="spellStart"/>
                  <w:r w:rsidRPr="00010188">
                    <w:rPr>
                      <w:rFonts w:ascii="Times New Roman" w:eastAsia="Times New Roman" w:hAnsi="Times New Roman" w:cs="Times New Roman"/>
                      <w:sz w:val="18"/>
                      <w:szCs w:val="18"/>
                      <w:lang w:eastAsia="tr-TR"/>
                    </w:rPr>
                    <w:t>pdf</w:t>
                  </w:r>
                  <w:proofErr w:type="spellEnd"/>
                  <w:r w:rsidRPr="00010188">
                    <w:rPr>
                      <w:rFonts w:ascii="Times New Roman" w:eastAsia="Times New Roman" w:hAnsi="Times New Roman" w:cs="Times New Roman"/>
                      <w:sz w:val="18"/>
                      <w:szCs w:val="18"/>
                      <w:lang w:eastAsia="tr-TR"/>
                    </w:rPr>
                    <w:t>” uzantılı dijital birer sureti, bilahare Genel Müdürlüğe elektronik ortamda iletilmek üzere firmalar tarafından muhafaza edilir.</w:t>
                  </w:r>
                </w:p>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10188">
                    <w:rPr>
                      <w:rFonts w:ascii="Times New Roman" w:eastAsia="Times New Roman" w:hAnsi="Times New Roman" w:cs="Times New Roman"/>
                      <w:sz w:val="18"/>
                      <w:szCs w:val="18"/>
                      <w:lang w:eastAsia="tr-TR"/>
                    </w:rPr>
                    <w:t>(3) Birinci fıkrada sayılan belgelerin asılları Genel Müdürlüğe posta yoluyla veya genel evraka elden teslim etmek suretiyle iletilir.</w:t>
                  </w:r>
                </w:p>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10188">
                    <w:rPr>
                      <w:rFonts w:ascii="Times New Roman" w:eastAsia="Times New Roman" w:hAnsi="Times New Roman" w:cs="Times New Roman"/>
                      <w:sz w:val="18"/>
                      <w:szCs w:val="18"/>
                      <w:lang w:eastAsia="tr-TR"/>
                    </w:rPr>
                    <w:t>(4) Firmalar adına ithalat işlemi yapmak üzere yetkilendirilecek kişiler, sahip oldukları nitelikli elektronik sertifikayı ya da mobil elektronik imzayı kullanarak Bakanlık internet sayfasındaki “E-İmza Uygulamaları” bölümünde yer alan “Yetkilendirme Başvuruları” başlığında yer alan “İthalat İşlemleri” formunu doldurarak yetkilendirme başvurusunda bulunur.</w:t>
                  </w:r>
                </w:p>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10188">
                    <w:rPr>
                      <w:rFonts w:ascii="Times New Roman" w:eastAsia="Times New Roman" w:hAnsi="Times New Roman" w:cs="Times New Roman"/>
                      <w:sz w:val="18"/>
                      <w:szCs w:val="18"/>
                      <w:lang w:eastAsia="tr-TR"/>
                    </w:rPr>
                    <w:t>(5) Birinci fıkrada sayılan belgelerin asıllarının Genel Müdürlüğe ulaşması ve dördüncü fıkrada açıklanan yetkilendirme başvurusunun yapılması üzerine, başvuru sahibi kişiye başvuru belgelerini elektronik ortamda sisteme yüklemek üzere kısıtlı yetki verilir.</w:t>
                  </w:r>
                </w:p>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10188">
                    <w:rPr>
                      <w:rFonts w:ascii="Times New Roman" w:eastAsia="Times New Roman" w:hAnsi="Times New Roman" w:cs="Times New Roman"/>
                      <w:sz w:val="18"/>
                      <w:szCs w:val="18"/>
                      <w:lang w:eastAsia="tr-TR"/>
                    </w:rPr>
                    <w:t>(6) Kısıtlı yetkili kullanıcı, Bakanlık internet sayfasındaki “E-İmza Uygulamaları” bölümünde “E-İmza Uygulamalarına Giriş” başlığını seçerek elektronik imzası ile “İthalat İşlemleri” menüsüne giriş yapar ve birinci fıkrada belirtilen belgeleri sisteme yükleyerek elektronik olarak başvurusunu tamamlar.</w:t>
                  </w:r>
                </w:p>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10188">
                    <w:rPr>
                      <w:rFonts w:ascii="Times New Roman" w:eastAsia="Times New Roman" w:hAnsi="Times New Roman" w:cs="Times New Roman"/>
                      <w:sz w:val="18"/>
                      <w:szCs w:val="18"/>
                      <w:lang w:eastAsia="tr-TR"/>
                    </w:rPr>
                    <w:t>(7) Elektronik ortamda başvurunun tamamlanması üzerine, firmanın sunduğu belgelerin doğruluğu ve usulüne uygunluğu kontrol edildikten sonra, Genel Müdürlükçe elektronik ortamda onay işlemleri başlatılır.</w:t>
                  </w:r>
                </w:p>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10188">
                    <w:rPr>
                      <w:rFonts w:ascii="Times New Roman" w:eastAsia="Times New Roman" w:hAnsi="Times New Roman" w:cs="Times New Roman"/>
                      <w:sz w:val="18"/>
                      <w:szCs w:val="18"/>
                      <w:lang w:eastAsia="tr-TR"/>
                    </w:rPr>
                    <w:t>(8) Belgelerin eksik ya da usulüne uygun olmaması ya da internet üzerinden girilen bilgilerin belgelerle uyuşmaması durumunda, firma tarafından eksik ve/veya usulüne uygun olmayan belgeler tamamlanır ve/veya firma tanımlamasına dair bilgilerde gerekli değişiklikler yapılır.</w:t>
                  </w:r>
                </w:p>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10188">
                    <w:rPr>
                      <w:rFonts w:ascii="Times New Roman" w:eastAsia="Times New Roman" w:hAnsi="Times New Roman" w:cs="Times New Roman"/>
                      <w:sz w:val="18"/>
                      <w:szCs w:val="18"/>
                      <w:lang w:eastAsia="tr-TR"/>
                    </w:rPr>
                    <w:t>(9) Genel Müdürlük, sunulan bilgi ve belgeler doğrultusunda ve/veya ilgili mevzuat çerçevesinde değişiklik ve güncelleme isteme, ek bilgi ve belge talep etme ya da yetkilendirme başvurusunu reddetme hakkına sahiptir.</w:t>
                  </w:r>
                </w:p>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10188">
                    <w:rPr>
                      <w:rFonts w:ascii="Times New Roman" w:eastAsia="Times New Roman" w:hAnsi="Times New Roman" w:cs="Times New Roman"/>
                      <w:sz w:val="18"/>
                      <w:szCs w:val="18"/>
                      <w:lang w:eastAsia="tr-TR"/>
                    </w:rPr>
                    <w:t>(10) Genel Müdürlük, yetkilendirme talebinin sonucunu dördüncü fıkra çerçevesinde yapılan başvuruda kullanıcı tarafından beyan edilen e-posta adresine bildirir. Bakanlık ulaşmayan bildirimlerden sorumlu değildir.</w:t>
                  </w:r>
                </w:p>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10188">
                    <w:rPr>
                      <w:rFonts w:ascii="Times New Roman" w:eastAsia="Times New Roman" w:hAnsi="Times New Roman" w:cs="Times New Roman"/>
                      <w:sz w:val="18"/>
                      <w:szCs w:val="18"/>
                      <w:lang w:eastAsia="tr-TR"/>
                    </w:rPr>
                    <w:t>(11) Firmalar tarafından birden fazla kişiye aynı anda ithalat işlemlerini elektronik ortamda yapmak üzere yetki verilebilir. Bu durumda birinci fıkrada belirtilen taahhütname, yetkilendirilecek her bir kişi için ayrı düzenlenir. Taahhütnamenin geçerli olacağı süre taahhütnamede belirtilir.</w:t>
                  </w:r>
                </w:p>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10188">
                    <w:rPr>
                      <w:rFonts w:ascii="Times New Roman" w:eastAsia="Times New Roman" w:hAnsi="Times New Roman" w:cs="Times New Roman"/>
                      <w:sz w:val="18"/>
                      <w:szCs w:val="18"/>
                      <w:lang w:eastAsia="tr-TR"/>
                    </w:rPr>
                    <w:t>(12) Aynı firma için sonradan yapılacak kullanıcı yetkilendirme başvurularında, taahhütname hariç olmak üzere birinci fıkrada sayılan ve geçerliği devam eden belgeler tekrar aranmaz.</w:t>
                  </w:r>
                </w:p>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10188">
                    <w:rPr>
                      <w:rFonts w:ascii="Times New Roman" w:eastAsia="Times New Roman" w:hAnsi="Times New Roman" w:cs="Times New Roman"/>
                      <w:sz w:val="18"/>
                      <w:szCs w:val="18"/>
                      <w:lang w:eastAsia="tr-TR"/>
                    </w:rPr>
                    <w:t>(13) Kullanıcıların, sertifikalarını yenilemesi veya başka bir nitelikli elektronik sertifika ya da mobil elektronik imza temin etmesi durumlarında yeniden yetkilendirme başvurusu yapması gerekmez.</w:t>
                  </w:r>
                </w:p>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010188">
                    <w:rPr>
                      <w:rFonts w:ascii="Times New Roman" w:eastAsia="Times New Roman" w:hAnsi="Times New Roman" w:cs="Times New Roman"/>
                      <w:b/>
                      <w:sz w:val="18"/>
                      <w:szCs w:val="18"/>
                      <w:lang w:eastAsia="tr-TR"/>
                    </w:rPr>
                    <w:t>Yetki süresinin uzatılması</w:t>
                  </w:r>
                </w:p>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10188">
                    <w:rPr>
                      <w:rFonts w:ascii="Times New Roman" w:eastAsia="Times New Roman" w:hAnsi="Times New Roman" w:cs="Times New Roman"/>
                      <w:b/>
                      <w:sz w:val="18"/>
                      <w:szCs w:val="18"/>
                      <w:lang w:eastAsia="tr-TR"/>
                    </w:rPr>
                    <w:t xml:space="preserve">MADDE 6 – </w:t>
                  </w:r>
                  <w:r w:rsidRPr="00010188">
                    <w:rPr>
                      <w:rFonts w:ascii="Times New Roman" w:eastAsia="Times New Roman" w:hAnsi="Times New Roman" w:cs="Times New Roman"/>
                      <w:sz w:val="18"/>
                      <w:szCs w:val="18"/>
                      <w:lang w:eastAsia="tr-TR"/>
                    </w:rPr>
                    <w:t>(1) Kullanıcının yetkisi taahhütnamede belirtilen süreyle sınırlıdır. Süre uzatımı talebinde bulunulması için, Genel Müdürlüğe her kişi için ayrı olmak üzere yeni taahhütname verilmesi gerekir. Yetki süresinin bitiminden süre uzatımına kadarki sürede kullanıcının yetkisi askıya alınır.</w:t>
                  </w:r>
                </w:p>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10188">
                    <w:rPr>
                      <w:rFonts w:ascii="Times New Roman" w:eastAsia="Times New Roman" w:hAnsi="Times New Roman" w:cs="Times New Roman"/>
                      <w:sz w:val="18"/>
                      <w:szCs w:val="18"/>
                      <w:lang w:eastAsia="tr-TR"/>
                    </w:rPr>
                    <w:t>(2) Süre uzatımında, daha önce firma tarafından bu Tebliğin 5 inci maddesinin üçüncü fıkrası uyarınca sunulan ve geçerliği devam eden diğer belgeler tekrar istenmez. Ancak, belgelerde değişiklik olması veya içerdikleri bilgilerin taahhütname ile farklı olması durumunda belgelerin yenilenmesi zorunludur.</w:t>
                  </w:r>
                </w:p>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10188">
                    <w:rPr>
                      <w:rFonts w:ascii="Times New Roman" w:eastAsia="Times New Roman" w:hAnsi="Times New Roman" w:cs="Times New Roman"/>
                      <w:sz w:val="18"/>
                      <w:szCs w:val="18"/>
                      <w:lang w:eastAsia="tr-TR"/>
                    </w:rPr>
                    <w:t>(3) İflas etmiş ya da iflas süreci devam eden firmalar adına işlem yapan kullanıcıların, yetki süresinin uzatılması ya da yeni bir kişinin yetkilendirilmesi için gereken taahhütnameyi noter kanalıyla temin edememesi durumunda, iflas idaresinin kararına dayanarak iflas müdürlüklerince usulüne uygun olarak düzenlenen taahhütname kabul edilir.</w:t>
                  </w:r>
                </w:p>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010188">
                    <w:rPr>
                      <w:rFonts w:ascii="Times New Roman" w:eastAsia="Times New Roman" w:hAnsi="Times New Roman" w:cs="Times New Roman"/>
                      <w:b/>
                      <w:sz w:val="18"/>
                      <w:szCs w:val="18"/>
                      <w:lang w:eastAsia="tr-TR"/>
                    </w:rPr>
                    <w:t>Yetkinin iptali</w:t>
                  </w:r>
                </w:p>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10188">
                    <w:rPr>
                      <w:rFonts w:ascii="Times New Roman" w:eastAsia="Times New Roman" w:hAnsi="Times New Roman" w:cs="Times New Roman"/>
                      <w:b/>
                      <w:sz w:val="18"/>
                      <w:szCs w:val="18"/>
                      <w:lang w:eastAsia="tr-TR"/>
                    </w:rPr>
                    <w:t xml:space="preserve">MADDE 7 – </w:t>
                  </w:r>
                  <w:r w:rsidRPr="00010188">
                    <w:rPr>
                      <w:rFonts w:ascii="Times New Roman" w:eastAsia="Times New Roman" w:hAnsi="Times New Roman" w:cs="Times New Roman"/>
                      <w:sz w:val="18"/>
                      <w:szCs w:val="18"/>
                      <w:lang w:eastAsia="tr-TR"/>
                    </w:rPr>
                    <w:t xml:space="preserve">(1) Kullanıcının yetkisi, firmanın Genel Müdürlüğe yazılı başvurusu üzerine iptal edilir. Başvuruda, firmayı temsil ve ilzama yetkili kişilerce Bakanlık internet sayfasındaki “E-İmza Uygulamaları” bölümünde yer alan örneğe uygun olarak noter tarafından düzenlenmiş </w:t>
                  </w:r>
                  <w:proofErr w:type="spellStart"/>
                  <w:r w:rsidRPr="00010188">
                    <w:rPr>
                      <w:rFonts w:ascii="Times New Roman" w:eastAsia="Times New Roman" w:hAnsi="Times New Roman" w:cs="Times New Roman"/>
                      <w:sz w:val="18"/>
                      <w:szCs w:val="18"/>
                      <w:lang w:eastAsia="tr-TR"/>
                    </w:rPr>
                    <w:t>azilname</w:t>
                  </w:r>
                  <w:proofErr w:type="spellEnd"/>
                  <w:r w:rsidRPr="00010188">
                    <w:rPr>
                      <w:rFonts w:ascii="Times New Roman" w:eastAsia="Times New Roman" w:hAnsi="Times New Roman" w:cs="Times New Roman"/>
                      <w:sz w:val="18"/>
                      <w:szCs w:val="18"/>
                      <w:lang w:eastAsia="tr-TR"/>
                    </w:rPr>
                    <w:t xml:space="preserve"> aranır.</w:t>
                  </w:r>
                </w:p>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10188">
                    <w:rPr>
                      <w:rFonts w:ascii="Times New Roman" w:eastAsia="Times New Roman" w:hAnsi="Times New Roman" w:cs="Times New Roman"/>
                      <w:sz w:val="18"/>
                      <w:szCs w:val="18"/>
                      <w:lang w:eastAsia="tr-TR"/>
                    </w:rPr>
                    <w:t>(2) Kullanıcının yetkisinden feragat etmesi halinde, bunun noter kanalıyla veya iadeli taahhütlü olarak firmaya bildirildiğini tevsik eden belgelerin Genel Müdürlüğe sunulması üzerine yetki iptal edilir.</w:t>
                  </w:r>
                </w:p>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10188">
                    <w:rPr>
                      <w:rFonts w:ascii="Times New Roman" w:eastAsia="Times New Roman" w:hAnsi="Times New Roman" w:cs="Times New Roman"/>
                      <w:sz w:val="18"/>
                      <w:szCs w:val="18"/>
                      <w:lang w:eastAsia="tr-TR"/>
                    </w:rPr>
                    <w:t xml:space="preserve">(3) Vergi numarasının değişmesi durumunda, o firma için yetkilendirilen tüm kullanıcıların yetkileri Bakanlıkça </w:t>
                  </w:r>
                  <w:proofErr w:type="spellStart"/>
                  <w:r w:rsidRPr="00010188">
                    <w:rPr>
                      <w:rFonts w:ascii="Times New Roman" w:eastAsia="Times New Roman" w:hAnsi="Times New Roman" w:cs="Times New Roman"/>
                      <w:sz w:val="18"/>
                      <w:szCs w:val="18"/>
                      <w:lang w:eastAsia="tr-TR"/>
                    </w:rPr>
                    <w:t>re’sen</w:t>
                  </w:r>
                  <w:proofErr w:type="spellEnd"/>
                  <w:r w:rsidRPr="00010188">
                    <w:rPr>
                      <w:rFonts w:ascii="Times New Roman" w:eastAsia="Times New Roman" w:hAnsi="Times New Roman" w:cs="Times New Roman"/>
                      <w:sz w:val="18"/>
                      <w:szCs w:val="18"/>
                      <w:lang w:eastAsia="tr-TR"/>
                    </w:rPr>
                    <w:t xml:space="preserve"> iptal edilir.</w:t>
                  </w:r>
                </w:p>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010188">
                    <w:rPr>
                      <w:rFonts w:ascii="Times New Roman" w:eastAsia="Times New Roman" w:hAnsi="Times New Roman" w:cs="Times New Roman"/>
                      <w:b/>
                      <w:sz w:val="18"/>
                      <w:szCs w:val="18"/>
                      <w:lang w:eastAsia="tr-TR"/>
                    </w:rPr>
                    <w:t>Yetkinin askıya alınması</w:t>
                  </w:r>
                </w:p>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10188">
                    <w:rPr>
                      <w:rFonts w:ascii="Times New Roman" w:eastAsia="Times New Roman" w:hAnsi="Times New Roman" w:cs="Times New Roman"/>
                      <w:b/>
                      <w:sz w:val="18"/>
                      <w:szCs w:val="18"/>
                      <w:lang w:eastAsia="tr-TR"/>
                    </w:rPr>
                    <w:t xml:space="preserve">MADDE 8 – </w:t>
                  </w:r>
                  <w:r w:rsidRPr="00010188">
                    <w:rPr>
                      <w:rFonts w:ascii="Times New Roman" w:eastAsia="Times New Roman" w:hAnsi="Times New Roman" w:cs="Times New Roman"/>
                      <w:sz w:val="18"/>
                      <w:szCs w:val="18"/>
                      <w:lang w:eastAsia="tr-TR"/>
                    </w:rPr>
                    <w:t>(1) Firma adına işlem yapan kullanıcıların yetkisi, firmanın yazılı olarak Genel Müdürlüğe yapacağı başvuru ile geçici süreyle askıya alınabilir.</w:t>
                  </w:r>
                </w:p>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10188">
                    <w:rPr>
                      <w:rFonts w:ascii="Times New Roman" w:eastAsia="Times New Roman" w:hAnsi="Times New Roman" w:cs="Times New Roman"/>
                      <w:sz w:val="18"/>
                      <w:szCs w:val="18"/>
                      <w:lang w:eastAsia="tr-TR"/>
                    </w:rPr>
                    <w:t xml:space="preserve">(2) Firmanın talebi üzerine askıya alınan yetkinin iptali için, Bakanlık internet sayfasındaki “E-İmza Uygulamaları” bölümünde yer alan örneğe uygun olarak noter kanalıyla düzenlenmiş </w:t>
                  </w:r>
                  <w:proofErr w:type="spellStart"/>
                  <w:r w:rsidRPr="00010188">
                    <w:rPr>
                      <w:rFonts w:ascii="Times New Roman" w:eastAsia="Times New Roman" w:hAnsi="Times New Roman" w:cs="Times New Roman"/>
                      <w:sz w:val="18"/>
                      <w:szCs w:val="18"/>
                      <w:lang w:eastAsia="tr-TR"/>
                    </w:rPr>
                    <w:t>azilname</w:t>
                  </w:r>
                  <w:proofErr w:type="spellEnd"/>
                  <w:r w:rsidRPr="00010188">
                    <w:rPr>
                      <w:rFonts w:ascii="Times New Roman" w:eastAsia="Times New Roman" w:hAnsi="Times New Roman" w:cs="Times New Roman"/>
                      <w:sz w:val="18"/>
                      <w:szCs w:val="18"/>
                      <w:lang w:eastAsia="tr-TR"/>
                    </w:rPr>
                    <w:t xml:space="preserve"> ile 7 (yedi) iş günü içinde Genel Müdürlüğe başvurulur. Aksi durumda, askıya alma işlemi kaldırılır ve yetki tekrar kullanıma açılır.</w:t>
                  </w:r>
                </w:p>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010188">
                    <w:rPr>
                      <w:rFonts w:ascii="Times New Roman" w:eastAsia="Times New Roman" w:hAnsi="Times New Roman" w:cs="Times New Roman"/>
                      <w:b/>
                      <w:sz w:val="18"/>
                      <w:szCs w:val="18"/>
                      <w:lang w:eastAsia="tr-TR"/>
                    </w:rPr>
                    <w:t>Güncelleme işlemleri</w:t>
                  </w:r>
                </w:p>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10188">
                    <w:rPr>
                      <w:rFonts w:ascii="Times New Roman" w:eastAsia="Times New Roman" w:hAnsi="Times New Roman" w:cs="Times New Roman"/>
                      <w:b/>
                      <w:sz w:val="18"/>
                      <w:szCs w:val="18"/>
                      <w:lang w:eastAsia="tr-TR"/>
                    </w:rPr>
                    <w:t xml:space="preserve">MADDE 9 – </w:t>
                  </w:r>
                  <w:r w:rsidRPr="00010188">
                    <w:rPr>
                      <w:rFonts w:ascii="Times New Roman" w:eastAsia="Times New Roman" w:hAnsi="Times New Roman" w:cs="Times New Roman"/>
                      <w:sz w:val="18"/>
                      <w:szCs w:val="18"/>
                      <w:lang w:eastAsia="tr-TR"/>
                    </w:rPr>
                    <w:t>(1) Yetkilendirme onayı gerçekleştirildikten sonra, vergi numarası ve/veya firma unvanı dışındaki değişiklikler için ayrıca belge aranmaz.</w:t>
                  </w:r>
                </w:p>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10188">
                    <w:rPr>
                      <w:rFonts w:ascii="Times New Roman" w:eastAsia="Times New Roman" w:hAnsi="Times New Roman" w:cs="Times New Roman"/>
                      <w:sz w:val="18"/>
                      <w:szCs w:val="18"/>
                      <w:lang w:eastAsia="tr-TR"/>
                    </w:rPr>
                    <w:lastRenderedPageBreak/>
                    <w:t>(2) Firma unvanında değişiklik yapılması durumunda kullanıcıların yetkileri askıya alınır. Söz konusu değişiklik için 5 inci maddenin birinci fıkrası uyarınca istenen belgelerin Genel Müdürlüğe sunulması üzerine, askıya alınan yetkilerin kullanıma açılması için onay işlemi başlatılır.</w:t>
                  </w:r>
                </w:p>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10188">
                    <w:rPr>
                      <w:rFonts w:ascii="Times New Roman" w:eastAsia="Times New Roman" w:hAnsi="Times New Roman" w:cs="Times New Roman"/>
                      <w:sz w:val="18"/>
                      <w:szCs w:val="18"/>
                      <w:lang w:eastAsia="tr-TR"/>
                    </w:rPr>
                    <w:t>(3) Vergi numarasının değişmesi durumda, firma bu durumu tevsik eden belgeleri Genel Müdürlüğe sunar. Genel Müdürlük firmanın önceki vergi numarasıyla yaptığı kullanıcı yetkilerinin iptali için onay işlemini başlatır. Yeni vergi numaralı firmanın kullanıcılarının yetkilendirilmesi gerekir. Önceki vergi numarasına sahip firmanın faaliyetine devamı halinde, bu Tebliğin diğer hükümleri saklı kalmak kaydıyla, firmanın kullanıcılarının yetkisi iptal edilmez.</w:t>
                  </w:r>
                </w:p>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10188">
                    <w:rPr>
                      <w:rFonts w:ascii="Times New Roman" w:eastAsia="Times New Roman" w:hAnsi="Times New Roman" w:cs="Times New Roman"/>
                      <w:sz w:val="18"/>
                      <w:szCs w:val="18"/>
                      <w:lang w:eastAsia="tr-TR"/>
                    </w:rPr>
                    <w:t>(4) Faaliyetine son veren firma bu durumu tevsik eden belgeleri Genel Müdürlüğe sunar. Genel Müdürlük kullanıcı yetkilerinin iptali için onay işlemini başlatır.</w:t>
                  </w:r>
                </w:p>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10188">
                    <w:rPr>
                      <w:rFonts w:ascii="Times New Roman" w:eastAsia="Times New Roman" w:hAnsi="Times New Roman" w:cs="Times New Roman"/>
                      <w:sz w:val="18"/>
                      <w:szCs w:val="18"/>
                      <w:lang w:eastAsia="tr-TR"/>
                    </w:rPr>
                    <w:t>(5) Firmalara veya kullanıcılarına dair bilgi ve belgelerdeki değişiklikler, en geç 5 (beş) iş günü içinde bu Tebliğe uygun olarak firma tarafından Genel Müdürlüğe bildirilir. Aksi halde, diğer mevzuat hükümleri saklı kalmak kaydıyla, kullanıcılarının yetkileri derhal askıya alınır. Askıya alma işlemi ancak eksikliklerin giderilmesi halinde kaldırılır.</w:t>
                  </w:r>
                </w:p>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010188">
                    <w:rPr>
                      <w:rFonts w:ascii="Times New Roman" w:eastAsia="Times New Roman" w:hAnsi="Times New Roman" w:cs="Times New Roman"/>
                      <w:b/>
                      <w:sz w:val="18"/>
                      <w:szCs w:val="18"/>
                      <w:lang w:eastAsia="tr-TR"/>
                    </w:rPr>
                    <w:t>İthalat işlemleri için elektronik ortamda başvuru</w:t>
                  </w:r>
                </w:p>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10188">
                    <w:rPr>
                      <w:rFonts w:ascii="Times New Roman" w:eastAsia="Times New Roman" w:hAnsi="Times New Roman" w:cs="Times New Roman"/>
                      <w:b/>
                      <w:sz w:val="18"/>
                      <w:szCs w:val="18"/>
                      <w:lang w:eastAsia="tr-TR"/>
                    </w:rPr>
                    <w:t xml:space="preserve">MADDE 10 – </w:t>
                  </w:r>
                  <w:r w:rsidRPr="00010188">
                    <w:rPr>
                      <w:rFonts w:ascii="Times New Roman" w:eastAsia="Times New Roman" w:hAnsi="Times New Roman" w:cs="Times New Roman"/>
                      <w:sz w:val="18"/>
                      <w:szCs w:val="18"/>
                      <w:lang w:eastAsia="tr-TR"/>
                    </w:rPr>
                    <w:t xml:space="preserve">(1) </w:t>
                  </w:r>
                  <w:proofErr w:type="gramStart"/>
                  <w:r w:rsidRPr="00010188">
                    <w:rPr>
                      <w:rFonts w:ascii="Times New Roman" w:eastAsia="Times New Roman" w:hAnsi="Times New Roman" w:cs="Times New Roman"/>
                      <w:sz w:val="18"/>
                      <w:szCs w:val="18"/>
                      <w:lang w:eastAsia="tr-TR"/>
                    </w:rPr>
                    <w:t>1/1/2018</w:t>
                  </w:r>
                  <w:proofErr w:type="gramEnd"/>
                  <w:r w:rsidRPr="00010188">
                    <w:rPr>
                      <w:rFonts w:ascii="Times New Roman" w:eastAsia="Times New Roman" w:hAnsi="Times New Roman" w:cs="Times New Roman"/>
                      <w:sz w:val="18"/>
                      <w:szCs w:val="18"/>
                      <w:lang w:eastAsia="tr-TR"/>
                    </w:rPr>
                    <w:t xml:space="preserve"> tarihinden itibaren ithalat işlemleri için, firmaların bu Tebliğ kapsamında adına işlem yapmak için yetkilendirilen kullanıcıları vasıtasıyla elektronik ortamda yapılan başvuruları kabul edilmeye başlanır. </w:t>
                  </w:r>
                  <w:proofErr w:type="gramStart"/>
                  <w:r w:rsidRPr="00010188">
                    <w:rPr>
                      <w:rFonts w:ascii="Times New Roman" w:eastAsia="Times New Roman" w:hAnsi="Times New Roman" w:cs="Times New Roman"/>
                      <w:sz w:val="18"/>
                      <w:szCs w:val="18"/>
                      <w:lang w:eastAsia="tr-TR"/>
                    </w:rPr>
                    <w:t>1/4/2018</w:t>
                  </w:r>
                  <w:proofErr w:type="gramEnd"/>
                  <w:r w:rsidRPr="00010188">
                    <w:rPr>
                      <w:rFonts w:ascii="Times New Roman" w:eastAsia="Times New Roman" w:hAnsi="Times New Roman" w:cs="Times New Roman"/>
                      <w:sz w:val="18"/>
                      <w:szCs w:val="18"/>
                      <w:lang w:eastAsia="tr-TR"/>
                    </w:rPr>
                    <w:t xml:space="preserve"> tarihinden sonra elektronik ortamda yapılacak başvurular dışındaki başvurular kabul edilmez. Ancak, elektronik ortamda yaşanabilecek teknik sorunlar sebebiyle başvuru yapılamaması halinde, fiziksel başvurular da kabul edilir.</w:t>
                  </w:r>
                </w:p>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10188">
                    <w:rPr>
                      <w:rFonts w:ascii="Times New Roman" w:eastAsia="Times New Roman" w:hAnsi="Times New Roman" w:cs="Times New Roman"/>
                      <w:sz w:val="18"/>
                      <w:szCs w:val="18"/>
                      <w:lang w:eastAsia="tr-TR"/>
                    </w:rPr>
                    <w:t>(2) İthalat işlemlerine ilişkin elektronik ortamda yapılacak başvurular, Bakanlık internet sayfasındaki “E-imza Uygulamalarının” altında yer alan “E-imza Uygulamalarına Giriş” bölümünden gerçekleştirilir.</w:t>
                  </w:r>
                </w:p>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10188">
                    <w:rPr>
                      <w:rFonts w:ascii="Times New Roman" w:eastAsia="Times New Roman" w:hAnsi="Times New Roman" w:cs="Times New Roman"/>
                      <w:sz w:val="18"/>
                      <w:szCs w:val="18"/>
                      <w:lang w:eastAsia="tr-TR"/>
                    </w:rPr>
                    <w:t>(3) İthalat işlemleri için başvuruda istenilecek bilgi ve belgeler, her bir ithalat işleminin mevzuatında yer almaktadır.</w:t>
                  </w:r>
                </w:p>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010188">
                    <w:rPr>
                      <w:rFonts w:ascii="Times New Roman" w:eastAsia="Times New Roman" w:hAnsi="Times New Roman" w:cs="Times New Roman"/>
                      <w:b/>
                      <w:sz w:val="18"/>
                      <w:szCs w:val="18"/>
                      <w:lang w:eastAsia="tr-TR"/>
                    </w:rPr>
                    <w:t>Yetki</w:t>
                  </w:r>
                </w:p>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10188">
                    <w:rPr>
                      <w:rFonts w:ascii="Times New Roman" w:eastAsia="Times New Roman" w:hAnsi="Times New Roman" w:cs="Times New Roman"/>
                      <w:b/>
                      <w:sz w:val="18"/>
                      <w:szCs w:val="18"/>
                      <w:lang w:eastAsia="tr-TR"/>
                    </w:rPr>
                    <w:t xml:space="preserve">MADDE 11 – </w:t>
                  </w:r>
                  <w:r w:rsidRPr="00010188">
                    <w:rPr>
                      <w:rFonts w:ascii="Times New Roman" w:eastAsia="Times New Roman" w:hAnsi="Times New Roman" w:cs="Times New Roman"/>
                      <w:sz w:val="18"/>
                      <w:szCs w:val="18"/>
                      <w:lang w:eastAsia="tr-TR"/>
                    </w:rPr>
                    <w:t>(1) Bakanlık, bu Tebliğde yer alan hususlarda önlem almaya, düzenleme yapmaya, özel ve zorunlu durumları inceleyip sonuçlandırmaya, muhtemel ihtilafları idari yoldan çözmeye ve teknik nedenlerle uygulamada yaşanan sorunları gidermeye yetkilidir.</w:t>
                  </w:r>
                </w:p>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10188">
                    <w:rPr>
                      <w:rFonts w:ascii="Times New Roman" w:eastAsia="Times New Roman" w:hAnsi="Times New Roman" w:cs="Times New Roman"/>
                      <w:sz w:val="18"/>
                      <w:szCs w:val="18"/>
                      <w:lang w:eastAsia="tr-TR"/>
                    </w:rPr>
                    <w:t>(2) İthalat işlemlerinin uygulanmasında, Bakanlıktan kaynaklanmayan nedenlerle elektronik iletişimde yaşanan aksaklıklardan Bakanlık sorumlu değildir.</w:t>
                  </w:r>
                </w:p>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10188">
                    <w:rPr>
                      <w:rFonts w:ascii="Times New Roman" w:eastAsia="Times New Roman" w:hAnsi="Times New Roman" w:cs="Times New Roman"/>
                      <w:sz w:val="18"/>
                      <w:szCs w:val="18"/>
                      <w:lang w:eastAsia="tr-TR"/>
                    </w:rPr>
                    <w:t>(3) Fiil ehliyetinin sınırlandırıldığı, gaipliği, ölümü veya adına işlem yaptığı firmanın tüzel kişiliğini kaybettiği öğrenilen nitelikli elektronik sertifika ya da mobil elektronik imza sahibi kişilerin yetkileri Bakanlıkça iptal edilir.</w:t>
                  </w:r>
                </w:p>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10188">
                    <w:rPr>
                      <w:rFonts w:ascii="Times New Roman" w:eastAsia="Times New Roman" w:hAnsi="Times New Roman" w:cs="Times New Roman"/>
                      <w:sz w:val="18"/>
                      <w:szCs w:val="18"/>
                      <w:lang w:eastAsia="tr-TR"/>
                    </w:rPr>
                    <w:t xml:space="preserve">(4) </w:t>
                  </w:r>
                  <w:proofErr w:type="gramStart"/>
                  <w:r w:rsidRPr="00010188">
                    <w:rPr>
                      <w:rFonts w:ascii="Times New Roman" w:eastAsia="Times New Roman" w:hAnsi="Times New Roman" w:cs="Times New Roman"/>
                      <w:sz w:val="18"/>
                      <w:szCs w:val="18"/>
                      <w:lang w:eastAsia="tr-TR"/>
                    </w:rPr>
                    <w:t>Kamu kurumu</w:t>
                  </w:r>
                  <w:proofErr w:type="gramEnd"/>
                  <w:r w:rsidRPr="00010188">
                    <w:rPr>
                      <w:rFonts w:ascii="Times New Roman" w:eastAsia="Times New Roman" w:hAnsi="Times New Roman" w:cs="Times New Roman"/>
                      <w:sz w:val="18"/>
                      <w:szCs w:val="18"/>
                      <w:lang w:eastAsia="tr-TR"/>
                    </w:rPr>
                    <w:t xml:space="preserve"> kullanıcılarına ilişkin usul ve esaslar, Bakanlığın ilgili kurumlarla yapacağı protokoller çerçevesinde ayrıca belirlenir.</w:t>
                  </w:r>
                </w:p>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010188">
                    <w:rPr>
                      <w:rFonts w:ascii="Times New Roman" w:eastAsia="Times New Roman" w:hAnsi="Times New Roman" w:cs="Times New Roman"/>
                      <w:b/>
                      <w:sz w:val="18"/>
                      <w:szCs w:val="18"/>
                      <w:lang w:eastAsia="tr-TR"/>
                    </w:rPr>
                    <w:t>Yürürlük</w:t>
                  </w:r>
                </w:p>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10188">
                    <w:rPr>
                      <w:rFonts w:ascii="Times New Roman" w:eastAsia="Times New Roman" w:hAnsi="Times New Roman" w:cs="Times New Roman"/>
                      <w:b/>
                      <w:sz w:val="18"/>
                      <w:szCs w:val="18"/>
                      <w:lang w:eastAsia="tr-TR"/>
                    </w:rPr>
                    <w:t xml:space="preserve">MADDE 12 – </w:t>
                  </w:r>
                  <w:r w:rsidRPr="00010188">
                    <w:rPr>
                      <w:rFonts w:ascii="Times New Roman" w:eastAsia="Times New Roman" w:hAnsi="Times New Roman" w:cs="Times New Roman"/>
                      <w:sz w:val="18"/>
                      <w:szCs w:val="18"/>
                      <w:lang w:eastAsia="tr-TR"/>
                    </w:rPr>
                    <w:t>(1) Bu Tebliğ yayımı tarihinde yürürlüğe girer.</w:t>
                  </w:r>
                </w:p>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010188">
                    <w:rPr>
                      <w:rFonts w:ascii="Times New Roman" w:eastAsia="Times New Roman" w:hAnsi="Times New Roman" w:cs="Times New Roman"/>
                      <w:b/>
                      <w:sz w:val="18"/>
                      <w:szCs w:val="18"/>
                      <w:lang w:eastAsia="tr-TR"/>
                    </w:rPr>
                    <w:t>Yürütme</w:t>
                  </w:r>
                </w:p>
                <w:p w:rsidR="00010188" w:rsidRPr="00010188" w:rsidRDefault="00010188" w:rsidP="00010188">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10188">
                    <w:rPr>
                      <w:rFonts w:ascii="Times New Roman" w:eastAsia="Times New Roman" w:hAnsi="Times New Roman" w:cs="Times New Roman"/>
                      <w:b/>
                      <w:sz w:val="18"/>
                      <w:szCs w:val="18"/>
                      <w:lang w:eastAsia="tr-TR"/>
                    </w:rPr>
                    <w:t xml:space="preserve">MADDE 13 </w:t>
                  </w:r>
                  <w:r w:rsidRPr="00010188">
                    <w:rPr>
                      <w:rFonts w:ascii="Times New Roman" w:eastAsia="Times New Roman" w:hAnsi="Times New Roman" w:cs="Times New Roman"/>
                      <w:sz w:val="18"/>
                      <w:szCs w:val="18"/>
                      <w:lang w:eastAsia="tr-TR"/>
                    </w:rPr>
                    <w:t>– (1) Bu Tebliğ hükümlerini Ekonomi Bakanı yürütür.</w:t>
                  </w:r>
                </w:p>
                <w:p w:rsidR="00010188" w:rsidRPr="00010188" w:rsidRDefault="00010188" w:rsidP="00010188">
                  <w:pPr>
                    <w:spacing w:before="100" w:beforeAutospacing="1" w:after="100" w:afterAutospacing="1" w:line="240" w:lineRule="auto"/>
                    <w:jc w:val="center"/>
                    <w:rPr>
                      <w:rFonts w:ascii="Arial" w:eastAsia="Times New Roman" w:hAnsi="Arial" w:cs="Arial"/>
                      <w:b/>
                      <w:color w:val="000080"/>
                      <w:sz w:val="18"/>
                      <w:szCs w:val="18"/>
                      <w:lang w:eastAsia="tr-TR"/>
                    </w:rPr>
                  </w:pPr>
                </w:p>
              </w:tc>
            </w:tr>
          </w:tbl>
          <w:p w:rsidR="00010188" w:rsidRPr="00010188" w:rsidRDefault="00010188" w:rsidP="00010188">
            <w:pPr>
              <w:spacing w:after="0" w:line="240" w:lineRule="auto"/>
              <w:jc w:val="center"/>
              <w:rPr>
                <w:rFonts w:ascii="Times New Roman" w:eastAsia="Times New Roman" w:hAnsi="Times New Roman" w:cs="Times New Roman"/>
                <w:sz w:val="20"/>
                <w:szCs w:val="20"/>
                <w:lang w:eastAsia="tr-TR"/>
              </w:rPr>
            </w:pPr>
          </w:p>
        </w:tc>
      </w:tr>
    </w:tbl>
    <w:p w:rsidR="00010188" w:rsidRPr="00010188" w:rsidRDefault="00010188" w:rsidP="00010188">
      <w:pPr>
        <w:spacing w:after="0" w:line="240" w:lineRule="auto"/>
        <w:jc w:val="center"/>
        <w:rPr>
          <w:rFonts w:ascii="Times New Roman" w:eastAsia="Times New Roman" w:hAnsi="Times New Roman" w:cs="Times New Roman"/>
          <w:sz w:val="24"/>
          <w:szCs w:val="24"/>
          <w:lang w:eastAsia="tr-TR"/>
        </w:rPr>
      </w:pPr>
    </w:p>
    <w:p w:rsidR="006A427A" w:rsidRDefault="006A427A"/>
    <w:sectPr w:rsidR="006A42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7A9"/>
    <w:rsid w:val="00010188"/>
    <w:rsid w:val="0003225E"/>
    <w:rsid w:val="001B67A9"/>
    <w:rsid w:val="006A427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rsid w:val="0001018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etin">
    <w:name w:val="Metin"/>
    <w:rsid w:val="00010188"/>
    <w:pPr>
      <w:tabs>
        <w:tab w:val="left" w:pos="566"/>
      </w:tabs>
      <w:spacing w:after="0" w:line="240" w:lineRule="auto"/>
      <w:ind w:firstLine="566"/>
      <w:jc w:val="both"/>
    </w:pPr>
    <w:rPr>
      <w:rFonts w:ascii="Times New Roman" w:eastAsia="Times New Roman" w:hAnsi="Times New Roman" w:cs="Times New Roman"/>
      <w:sz w:val="19"/>
      <w:szCs w:val="20"/>
      <w:lang w:eastAsia="tr-TR"/>
    </w:rPr>
  </w:style>
  <w:style w:type="paragraph" w:customStyle="1" w:styleId="Balk11pt">
    <w:name w:val="Başlık 11 pt"/>
    <w:rsid w:val="00010188"/>
    <w:pPr>
      <w:tabs>
        <w:tab w:val="left" w:pos="566"/>
      </w:tabs>
      <w:spacing w:after="0" w:line="240" w:lineRule="auto"/>
      <w:ind w:firstLine="566"/>
      <w:jc w:val="both"/>
    </w:pPr>
    <w:rPr>
      <w:rFonts w:ascii="Times New Roman" w:eastAsia="Times New Roman" w:hAnsi="Times New Roman" w:cs="Times New Roman"/>
      <w:szCs w:val="20"/>
      <w:u w:val="single"/>
      <w:lang w:eastAsia="tr-TR"/>
    </w:rPr>
  </w:style>
  <w:style w:type="paragraph" w:customStyle="1" w:styleId="OrtaBalkBold">
    <w:name w:val="Orta Başlık Bold"/>
    <w:rsid w:val="00010188"/>
    <w:pPr>
      <w:tabs>
        <w:tab w:val="left" w:pos="566"/>
      </w:tabs>
      <w:spacing w:after="0" w:line="240" w:lineRule="auto"/>
      <w:jc w:val="center"/>
    </w:pPr>
    <w:rPr>
      <w:rFonts w:ascii="Times New Roman" w:eastAsia="Times New Roman" w:hAnsi="Times New Roman" w:cs="Times New Roman"/>
      <w:b/>
      <w:sz w:val="19"/>
      <w:szCs w:val="20"/>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rsid w:val="0001018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etin">
    <w:name w:val="Metin"/>
    <w:rsid w:val="00010188"/>
    <w:pPr>
      <w:tabs>
        <w:tab w:val="left" w:pos="566"/>
      </w:tabs>
      <w:spacing w:after="0" w:line="240" w:lineRule="auto"/>
      <w:ind w:firstLine="566"/>
      <w:jc w:val="both"/>
    </w:pPr>
    <w:rPr>
      <w:rFonts w:ascii="Times New Roman" w:eastAsia="Times New Roman" w:hAnsi="Times New Roman" w:cs="Times New Roman"/>
      <w:sz w:val="19"/>
      <w:szCs w:val="20"/>
      <w:lang w:eastAsia="tr-TR"/>
    </w:rPr>
  </w:style>
  <w:style w:type="paragraph" w:customStyle="1" w:styleId="Balk11pt">
    <w:name w:val="Başlık 11 pt"/>
    <w:rsid w:val="00010188"/>
    <w:pPr>
      <w:tabs>
        <w:tab w:val="left" w:pos="566"/>
      </w:tabs>
      <w:spacing w:after="0" w:line="240" w:lineRule="auto"/>
      <w:ind w:firstLine="566"/>
      <w:jc w:val="both"/>
    </w:pPr>
    <w:rPr>
      <w:rFonts w:ascii="Times New Roman" w:eastAsia="Times New Roman" w:hAnsi="Times New Roman" w:cs="Times New Roman"/>
      <w:szCs w:val="20"/>
      <w:u w:val="single"/>
      <w:lang w:eastAsia="tr-TR"/>
    </w:rPr>
  </w:style>
  <w:style w:type="paragraph" w:customStyle="1" w:styleId="OrtaBalkBold">
    <w:name w:val="Orta Başlık Bold"/>
    <w:rsid w:val="00010188"/>
    <w:pPr>
      <w:tabs>
        <w:tab w:val="left" w:pos="566"/>
      </w:tabs>
      <w:spacing w:after="0" w:line="240" w:lineRule="auto"/>
      <w:jc w:val="center"/>
    </w:pPr>
    <w:rPr>
      <w:rFonts w:ascii="Times New Roman" w:eastAsia="Times New Roman" w:hAnsi="Times New Roman" w:cs="Times New Roman"/>
      <w:b/>
      <w:sz w:val="19"/>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3124504">
      <w:bodyDiv w:val="1"/>
      <w:marLeft w:val="0"/>
      <w:marRight w:val="0"/>
      <w:marTop w:val="0"/>
      <w:marBottom w:val="0"/>
      <w:divBdr>
        <w:top w:val="none" w:sz="0" w:space="0" w:color="auto"/>
        <w:left w:val="none" w:sz="0" w:space="0" w:color="auto"/>
        <w:bottom w:val="none" w:sz="0" w:space="0" w:color="auto"/>
        <w:right w:val="none" w:sz="0" w:space="0" w:color="auto"/>
      </w:divBdr>
      <w:divsChild>
        <w:div w:id="1832595524">
          <w:marLeft w:val="0"/>
          <w:marRight w:val="0"/>
          <w:marTop w:val="0"/>
          <w:marBottom w:val="0"/>
          <w:divBdr>
            <w:top w:val="none" w:sz="0" w:space="0" w:color="auto"/>
            <w:left w:val="none" w:sz="0" w:space="0" w:color="auto"/>
            <w:bottom w:val="none" w:sz="0" w:space="0" w:color="auto"/>
            <w:right w:val="none" w:sz="0" w:space="0" w:color="auto"/>
          </w:divBdr>
          <w:divsChild>
            <w:div w:id="938416926">
              <w:marLeft w:val="0"/>
              <w:marRight w:val="0"/>
              <w:marTop w:val="0"/>
              <w:marBottom w:val="0"/>
              <w:divBdr>
                <w:top w:val="none" w:sz="0" w:space="0" w:color="auto"/>
                <w:left w:val="none" w:sz="0" w:space="0" w:color="auto"/>
                <w:bottom w:val="none" w:sz="0" w:space="0" w:color="auto"/>
                <w:right w:val="none" w:sz="0" w:space="0" w:color="auto"/>
              </w:divBdr>
              <w:divsChild>
                <w:div w:id="68598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229944">
      <w:bodyDiv w:val="1"/>
      <w:marLeft w:val="0"/>
      <w:marRight w:val="0"/>
      <w:marTop w:val="0"/>
      <w:marBottom w:val="0"/>
      <w:divBdr>
        <w:top w:val="none" w:sz="0" w:space="0" w:color="auto"/>
        <w:left w:val="none" w:sz="0" w:space="0" w:color="auto"/>
        <w:bottom w:val="none" w:sz="0" w:space="0" w:color="auto"/>
        <w:right w:val="none" w:sz="0" w:space="0" w:color="auto"/>
      </w:divBdr>
      <w:divsChild>
        <w:div w:id="646204403">
          <w:marLeft w:val="0"/>
          <w:marRight w:val="0"/>
          <w:marTop w:val="0"/>
          <w:marBottom w:val="0"/>
          <w:divBdr>
            <w:top w:val="none" w:sz="0" w:space="0" w:color="auto"/>
            <w:left w:val="none" w:sz="0" w:space="0" w:color="auto"/>
            <w:bottom w:val="none" w:sz="0" w:space="0" w:color="auto"/>
            <w:right w:val="none" w:sz="0" w:space="0" w:color="auto"/>
          </w:divBdr>
          <w:divsChild>
            <w:div w:id="1122772055">
              <w:marLeft w:val="0"/>
              <w:marRight w:val="0"/>
              <w:marTop w:val="0"/>
              <w:marBottom w:val="0"/>
              <w:divBdr>
                <w:top w:val="none" w:sz="0" w:space="0" w:color="auto"/>
                <w:left w:val="none" w:sz="0" w:space="0" w:color="auto"/>
                <w:bottom w:val="none" w:sz="0" w:space="0" w:color="auto"/>
                <w:right w:val="none" w:sz="0" w:space="0" w:color="auto"/>
              </w:divBdr>
              <w:divsChild>
                <w:div w:id="131494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1830</Words>
  <Characters>10435</Characters>
  <Application>Microsoft Office Word</Application>
  <DocSecurity>0</DocSecurity>
  <Lines>86</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İdris ÇEVİK</dc:creator>
  <cp:lastModifiedBy>Şennur GÜMÜŞKAYA</cp:lastModifiedBy>
  <cp:revision>2</cp:revision>
  <dcterms:created xsi:type="dcterms:W3CDTF">2017-12-27T06:46:00Z</dcterms:created>
  <dcterms:modified xsi:type="dcterms:W3CDTF">2017-12-27T06:46:00Z</dcterms:modified>
</cp:coreProperties>
</file>