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A644F3" w:rsidRPr="00A644F3" w:rsidTr="00A644F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644F3" w:rsidRPr="00A644F3">
              <w:trPr>
                <w:trHeight w:val="317"/>
                <w:jc w:val="center"/>
              </w:trPr>
              <w:tc>
                <w:tcPr>
                  <w:tcW w:w="2931" w:type="dxa"/>
                  <w:tcBorders>
                    <w:top w:val="nil"/>
                    <w:left w:val="nil"/>
                    <w:bottom w:val="single" w:sz="4" w:space="0" w:color="660066"/>
                    <w:right w:val="nil"/>
                  </w:tcBorders>
                  <w:vAlign w:val="center"/>
                  <w:hideMark/>
                </w:tcPr>
                <w:p w:rsidR="00A644F3" w:rsidRPr="00A644F3" w:rsidRDefault="00A644F3" w:rsidP="00A644F3">
                  <w:pPr>
                    <w:tabs>
                      <w:tab w:val="left" w:pos="567"/>
                      <w:tab w:val="center" w:pos="994"/>
                      <w:tab w:val="center" w:pos="3543"/>
                      <w:tab w:val="right" w:pos="6520"/>
                    </w:tabs>
                    <w:spacing w:line="240" w:lineRule="exact"/>
                    <w:jc w:val="left"/>
                    <w:rPr>
                      <w:rFonts w:ascii="Arial" w:eastAsia="Times New Roman" w:hAnsi="Arial" w:cs="Arial"/>
                      <w:sz w:val="16"/>
                      <w:szCs w:val="16"/>
                      <w:lang w:eastAsia="tr-TR"/>
                    </w:rPr>
                  </w:pPr>
                  <w:bookmarkStart w:id="0" w:name="_GoBack"/>
                  <w:bookmarkEnd w:id="0"/>
                  <w:r w:rsidRPr="00A644F3">
                    <w:rPr>
                      <w:rFonts w:ascii="Arial" w:eastAsia="Times New Roman" w:hAnsi="Arial" w:cs="Arial"/>
                      <w:sz w:val="16"/>
                      <w:szCs w:val="16"/>
                      <w:lang w:eastAsia="tr-TR"/>
                    </w:rPr>
                    <w:t>31 Aralık 2016 CUMARTESİ</w:t>
                  </w:r>
                </w:p>
              </w:tc>
              <w:tc>
                <w:tcPr>
                  <w:tcW w:w="2931" w:type="dxa"/>
                  <w:tcBorders>
                    <w:top w:val="nil"/>
                    <w:left w:val="nil"/>
                    <w:bottom w:val="single" w:sz="4" w:space="0" w:color="660066"/>
                    <w:right w:val="nil"/>
                  </w:tcBorders>
                  <w:vAlign w:val="center"/>
                  <w:hideMark/>
                </w:tcPr>
                <w:p w:rsidR="00A644F3" w:rsidRPr="00A644F3" w:rsidRDefault="00A644F3" w:rsidP="00A644F3">
                  <w:pPr>
                    <w:tabs>
                      <w:tab w:val="left" w:pos="567"/>
                      <w:tab w:val="center" w:pos="994"/>
                      <w:tab w:val="center" w:pos="3543"/>
                      <w:tab w:val="right" w:pos="6520"/>
                    </w:tabs>
                    <w:spacing w:line="240" w:lineRule="exact"/>
                    <w:jc w:val="center"/>
                    <w:rPr>
                      <w:rFonts w:ascii="Palatino Linotype" w:eastAsia="Times New Roman" w:hAnsi="Palatino Linotype"/>
                      <w:b/>
                      <w:color w:val="800080"/>
                      <w:lang w:eastAsia="tr-TR"/>
                    </w:rPr>
                  </w:pPr>
                  <w:r w:rsidRPr="00A644F3">
                    <w:rPr>
                      <w:rFonts w:ascii="Palatino Linotype" w:eastAsia="Times New Roman" w:hAnsi="Palatino Linotype"/>
                      <w:b/>
                      <w:color w:val="800080"/>
                      <w:lang w:eastAsia="tr-TR"/>
                    </w:rPr>
                    <w:t>Resmî Gazete</w:t>
                  </w:r>
                </w:p>
              </w:tc>
              <w:tc>
                <w:tcPr>
                  <w:tcW w:w="2927" w:type="dxa"/>
                  <w:tcBorders>
                    <w:top w:val="nil"/>
                    <w:left w:val="nil"/>
                    <w:bottom w:val="single" w:sz="4" w:space="0" w:color="660066"/>
                    <w:right w:val="nil"/>
                  </w:tcBorders>
                  <w:vAlign w:val="center"/>
                  <w:hideMark/>
                </w:tcPr>
                <w:p w:rsidR="00A644F3" w:rsidRPr="00A644F3" w:rsidRDefault="00A644F3" w:rsidP="00A644F3">
                  <w:pPr>
                    <w:spacing w:before="100" w:beforeAutospacing="1" w:after="100" w:afterAutospacing="1"/>
                    <w:jc w:val="right"/>
                    <w:rPr>
                      <w:rFonts w:ascii="Arial" w:eastAsia="Times New Roman" w:hAnsi="Arial" w:cs="Arial"/>
                      <w:b/>
                      <w:bCs/>
                      <w:sz w:val="16"/>
                      <w:szCs w:val="16"/>
                      <w:lang w:eastAsia="tr-TR"/>
                    </w:rPr>
                  </w:pPr>
                  <w:proofErr w:type="gramStart"/>
                  <w:r w:rsidRPr="00A644F3">
                    <w:rPr>
                      <w:rFonts w:ascii="Arial" w:eastAsia="Times New Roman" w:hAnsi="Arial" w:cs="Arial"/>
                      <w:sz w:val="16"/>
                      <w:szCs w:val="16"/>
                      <w:lang w:eastAsia="tr-TR"/>
                    </w:rPr>
                    <w:t>Sayı : 29935</w:t>
                  </w:r>
                  <w:proofErr w:type="gramEnd"/>
                  <w:r w:rsidRPr="00A644F3">
                    <w:rPr>
                      <w:rFonts w:ascii="Arial" w:eastAsia="Times New Roman" w:hAnsi="Arial" w:cs="Arial"/>
                      <w:sz w:val="16"/>
                      <w:szCs w:val="16"/>
                      <w:lang w:eastAsia="tr-TR"/>
                    </w:rPr>
                    <w:t xml:space="preserve"> </w:t>
                  </w:r>
                  <w:r w:rsidRPr="00A644F3">
                    <w:rPr>
                      <w:rFonts w:ascii="Arial" w:eastAsia="Times New Roman" w:hAnsi="Arial" w:cs="Arial"/>
                      <w:b/>
                      <w:bCs/>
                      <w:sz w:val="16"/>
                      <w:szCs w:val="16"/>
                      <w:lang w:eastAsia="tr-TR"/>
                    </w:rPr>
                    <w:t>(3. Mükerrer)</w:t>
                  </w:r>
                </w:p>
              </w:tc>
            </w:tr>
            <w:tr w:rsidR="00A644F3" w:rsidRPr="00A644F3">
              <w:trPr>
                <w:trHeight w:val="480"/>
                <w:jc w:val="center"/>
              </w:trPr>
              <w:tc>
                <w:tcPr>
                  <w:tcW w:w="8789" w:type="dxa"/>
                  <w:gridSpan w:val="3"/>
                  <w:vAlign w:val="center"/>
                  <w:hideMark/>
                </w:tcPr>
                <w:p w:rsidR="00A644F3" w:rsidRPr="00A644F3" w:rsidRDefault="00A644F3" w:rsidP="00A644F3">
                  <w:pPr>
                    <w:spacing w:before="100" w:beforeAutospacing="1" w:after="100" w:afterAutospacing="1"/>
                    <w:jc w:val="center"/>
                    <w:rPr>
                      <w:rFonts w:ascii="Arial" w:eastAsia="Times New Roman" w:hAnsi="Arial" w:cs="Arial"/>
                      <w:b/>
                      <w:color w:val="000080"/>
                      <w:sz w:val="18"/>
                      <w:szCs w:val="18"/>
                      <w:lang w:eastAsia="tr-TR"/>
                    </w:rPr>
                  </w:pPr>
                  <w:r w:rsidRPr="00A644F3">
                    <w:rPr>
                      <w:rFonts w:ascii="Arial" w:eastAsia="Times New Roman" w:hAnsi="Arial" w:cs="Arial"/>
                      <w:b/>
                      <w:color w:val="000080"/>
                      <w:sz w:val="18"/>
                      <w:szCs w:val="18"/>
                      <w:lang w:eastAsia="tr-TR"/>
                    </w:rPr>
                    <w:t>YÖNETMELİK</w:t>
                  </w:r>
                </w:p>
              </w:tc>
            </w:tr>
            <w:tr w:rsidR="00A644F3" w:rsidRPr="00A644F3">
              <w:trPr>
                <w:trHeight w:val="480"/>
                <w:jc w:val="center"/>
              </w:trPr>
              <w:tc>
                <w:tcPr>
                  <w:tcW w:w="8789" w:type="dxa"/>
                  <w:gridSpan w:val="3"/>
                  <w:vAlign w:val="center"/>
                </w:tcPr>
                <w:p w:rsidR="00A644F3" w:rsidRPr="00A644F3" w:rsidRDefault="00A644F3" w:rsidP="00A644F3">
                  <w:pPr>
                    <w:tabs>
                      <w:tab w:val="left" w:pos="566"/>
                    </w:tabs>
                    <w:spacing w:line="240" w:lineRule="exact"/>
                    <w:ind w:firstLine="566"/>
                    <w:rPr>
                      <w:rFonts w:eastAsia="Times New Roman"/>
                      <w:sz w:val="18"/>
                      <w:szCs w:val="18"/>
                      <w:u w:val="single"/>
                      <w:lang w:eastAsia="tr-TR"/>
                    </w:rPr>
                  </w:pPr>
                  <w:r w:rsidRPr="00A644F3">
                    <w:rPr>
                      <w:rFonts w:eastAsia="Times New Roman"/>
                      <w:sz w:val="18"/>
                      <w:szCs w:val="18"/>
                      <w:u w:val="single"/>
                      <w:lang w:eastAsia="tr-TR"/>
                    </w:rPr>
                    <w:t>Gümrük ve Ticaret Bakanlığından:</w:t>
                  </w:r>
                </w:p>
                <w:p w:rsidR="00A644F3" w:rsidRPr="00A644F3" w:rsidRDefault="00A644F3" w:rsidP="00A644F3">
                  <w:pPr>
                    <w:tabs>
                      <w:tab w:val="left" w:pos="566"/>
                    </w:tabs>
                    <w:spacing w:before="56" w:line="240" w:lineRule="exact"/>
                    <w:jc w:val="center"/>
                    <w:rPr>
                      <w:rFonts w:eastAsia="Times New Roman"/>
                      <w:b/>
                      <w:bCs/>
                      <w:sz w:val="18"/>
                      <w:szCs w:val="18"/>
                      <w:lang w:eastAsia="tr-TR"/>
                    </w:rPr>
                  </w:pPr>
                  <w:r w:rsidRPr="00A644F3">
                    <w:rPr>
                      <w:rFonts w:eastAsia="Times New Roman"/>
                      <w:b/>
                      <w:bCs/>
                      <w:sz w:val="18"/>
                      <w:szCs w:val="18"/>
                      <w:lang w:eastAsia="tr-TR"/>
                    </w:rPr>
                    <w:t xml:space="preserve">TİCARİ İŞLEMLERDE TAŞINIR VARLIKLARIN DEĞER </w:t>
                  </w:r>
                </w:p>
                <w:p w:rsidR="00A644F3" w:rsidRPr="00A644F3" w:rsidRDefault="00A644F3" w:rsidP="00A644F3">
                  <w:pPr>
                    <w:tabs>
                      <w:tab w:val="left" w:pos="566"/>
                    </w:tabs>
                    <w:spacing w:after="170" w:line="240" w:lineRule="exact"/>
                    <w:jc w:val="center"/>
                    <w:rPr>
                      <w:rFonts w:eastAsia="Times New Roman"/>
                      <w:b/>
                      <w:bCs/>
                      <w:sz w:val="18"/>
                      <w:szCs w:val="18"/>
                      <w:lang w:eastAsia="tr-TR"/>
                    </w:rPr>
                  </w:pPr>
                  <w:r w:rsidRPr="00A644F3">
                    <w:rPr>
                      <w:rFonts w:eastAsia="Times New Roman"/>
                      <w:b/>
                      <w:bCs/>
                      <w:sz w:val="18"/>
                      <w:szCs w:val="18"/>
                      <w:lang w:eastAsia="tr-TR"/>
                    </w:rPr>
                    <w:t>TESPİTİ HAKKINDA YÖNETMELİK</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Amaç</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1 –</w:t>
                  </w:r>
                  <w:r w:rsidRPr="00A644F3">
                    <w:rPr>
                      <w:rFonts w:eastAsia="Times New Roman"/>
                      <w:sz w:val="18"/>
                      <w:szCs w:val="18"/>
                      <w:lang w:eastAsia="tr-TR"/>
                    </w:rPr>
                    <w:t xml:space="preserve"> (1) Bu Yönetmeliğin amacı,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varlıkların değerinin tespit edilmesine, </w:t>
                  </w:r>
                  <w:proofErr w:type="gramStart"/>
                  <w:r w:rsidRPr="00A644F3">
                    <w:rPr>
                      <w:rFonts w:eastAsia="Times New Roman"/>
                      <w:sz w:val="18"/>
                      <w:szCs w:val="18"/>
                      <w:lang w:eastAsia="tr-TR"/>
                    </w:rPr>
                    <w:t>ekspertiz</w:t>
                  </w:r>
                  <w:proofErr w:type="gramEnd"/>
                  <w:r w:rsidRPr="00A644F3">
                    <w:rPr>
                      <w:rFonts w:eastAsia="Times New Roman"/>
                      <w:sz w:val="18"/>
                      <w:szCs w:val="18"/>
                      <w:lang w:eastAsia="tr-TR"/>
                    </w:rPr>
                    <w:t xml:space="preserve"> hizmeti sunan kişilerin belirlenmesi ile bunların görevlendirilmesine ve değerleme hizmeti ücretlerinin belirlenmesine ilişkin usul ve esasları belirlemektir.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Kapsam</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 xml:space="preserve">MADDE 2 – </w:t>
                  </w:r>
                  <w:r w:rsidRPr="00A644F3">
                    <w:rPr>
                      <w:rFonts w:eastAsia="Times New Roman"/>
                      <w:sz w:val="18"/>
                      <w:szCs w:val="18"/>
                      <w:lang w:eastAsia="tr-TR"/>
                    </w:rPr>
                    <w:t xml:space="preserve">(1) Bu Yönetmelik; 20/10/2016 tarihli ve 6750 sayılı Ticari İşlemlerde Taşınır </w:t>
                  </w:r>
                  <w:proofErr w:type="spellStart"/>
                  <w:r w:rsidRPr="00A644F3">
                    <w:rPr>
                      <w:rFonts w:eastAsia="Times New Roman"/>
                      <w:sz w:val="18"/>
                      <w:szCs w:val="18"/>
                      <w:lang w:eastAsia="tr-TR"/>
                    </w:rPr>
                    <w:t>Rehni</w:t>
                  </w:r>
                  <w:proofErr w:type="spellEnd"/>
                  <w:r w:rsidRPr="00A644F3">
                    <w:rPr>
                      <w:rFonts w:eastAsia="Times New Roman"/>
                      <w:sz w:val="18"/>
                      <w:szCs w:val="18"/>
                      <w:lang w:eastAsia="tr-TR"/>
                    </w:rPr>
                    <w:t xml:space="preserve"> Kanunu uyarınca yapılacak değerleme hizmetlerine, bu hizmetleri verebilecek eksperler ile bunların iş ve işlemlerine, yetkili mahkemece </w:t>
                  </w:r>
                  <w:proofErr w:type="gramStart"/>
                  <w:r w:rsidRPr="00A644F3">
                    <w:rPr>
                      <w:rFonts w:eastAsia="Times New Roman"/>
                      <w:sz w:val="18"/>
                      <w:szCs w:val="18"/>
                      <w:lang w:eastAsia="tr-TR"/>
                    </w:rPr>
                    <w:t>eksper</w:t>
                  </w:r>
                  <w:proofErr w:type="gramEnd"/>
                  <w:r w:rsidRPr="00A644F3">
                    <w:rPr>
                      <w:rFonts w:eastAsia="Times New Roman"/>
                      <w:sz w:val="18"/>
                      <w:szCs w:val="18"/>
                      <w:lang w:eastAsia="tr-TR"/>
                    </w:rPr>
                    <w:t xml:space="preserve"> görevlendirilmesine, eksper talebinde bulunabilecek kişilere, eksperlerin denetimi ile değerleme hizmeti ücretlerine ilişkin usul ve esasları kapsar.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Dayanak</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3 –</w:t>
                  </w:r>
                  <w:r w:rsidRPr="00A644F3">
                    <w:rPr>
                      <w:rFonts w:eastAsia="Times New Roman"/>
                      <w:sz w:val="18"/>
                      <w:szCs w:val="18"/>
                      <w:lang w:eastAsia="tr-TR"/>
                    </w:rPr>
                    <w:t xml:space="preserve"> (1) Bu Yönetmelik, 6750 sayılı Ticari İşlemlerde Taşınır </w:t>
                  </w:r>
                  <w:proofErr w:type="spellStart"/>
                  <w:r w:rsidRPr="00A644F3">
                    <w:rPr>
                      <w:rFonts w:eastAsia="Times New Roman"/>
                      <w:sz w:val="18"/>
                      <w:szCs w:val="18"/>
                      <w:lang w:eastAsia="tr-TR"/>
                    </w:rPr>
                    <w:t>Rehni</w:t>
                  </w:r>
                  <w:proofErr w:type="spellEnd"/>
                  <w:r w:rsidRPr="00A644F3">
                    <w:rPr>
                      <w:rFonts w:eastAsia="Times New Roman"/>
                      <w:sz w:val="18"/>
                      <w:szCs w:val="18"/>
                      <w:lang w:eastAsia="tr-TR"/>
                    </w:rPr>
                    <w:t xml:space="preserve"> Kanununun 13 üncü maddesine dayanılarak hazırlanmıştır.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Tanımlar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4 –</w:t>
                  </w:r>
                  <w:r w:rsidRPr="00A644F3">
                    <w:rPr>
                      <w:rFonts w:eastAsia="Times New Roman"/>
                      <w:sz w:val="18"/>
                      <w:szCs w:val="18"/>
                      <w:lang w:eastAsia="tr-TR"/>
                    </w:rPr>
                    <w:t xml:space="preserve"> (1) Bu Yönetmelikte geçen;</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a) Bakanlık: Gümrük ve Ticaret Bakanlığını,</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b) Değerleme hizmeti: Kanun kapsamında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edilen taşınır varlıkların belirli bir tarihteki muhtemel değerinin bağımsız ve tarafsız olarak tespit edilmesi faaliyetlerini,</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c) Eksper: </w:t>
                  </w:r>
                  <w:proofErr w:type="gramStart"/>
                  <w:r w:rsidRPr="00A644F3">
                    <w:rPr>
                      <w:rFonts w:eastAsia="Times New Roman"/>
                      <w:sz w:val="18"/>
                      <w:szCs w:val="18"/>
                      <w:lang w:eastAsia="tr-TR"/>
                    </w:rPr>
                    <w:t>1/11/2006</w:t>
                  </w:r>
                  <w:proofErr w:type="gramEnd"/>
                  <w:r w:rsidRPr="00A644F3">
                    <w:rPr>
                      <w:rFonts w:eastAsia="Times New Roman"/>
                      <w:sz w:val="18"/>
                      <w:szCs w:val="18"/>
                      <w:lang w:eastAsia="tr-TR"/>
                    </w:rPr>
                    <w:t xml:space="preserve"> tarihli ve 26333 sayılı Resmî </w:t>
                  </w:r>
                  <w:proofErr w:type="spellStart"/>
                  <w:r w:rsidRPr="00A644F3">
                    <w:rPr>
                      <w:rFonts w:eastAsia="Times New Roman"/>
                      <w:sz w:val="18"/>
                      <w:szCs w:val="18"/>
                      <w:lang w:eastAsia="tr-TR"/>
                    </w:rPr>
                    <w:t>Gazete’de</w:t>
                  </w:r>
                  <w:proofErr w:type="spellEnd"/>
                  <w:r w:rsidRPr="00A644F3">
                    <w:rPr>
                      <w:rFonts w:eastAsia="Times New Roman"/>
                      <w:sz w:val="18"/>
                      <w:szCs w:val="18"/>
                      <w:lang w:eastAsia="tr-TR"/>
                    </w:rPr>
                    <w:t xml:space="preserve"> yayımlanan Bankalara Değerleme Hizmeti Verecek Kuruluşların Yetkilendirilmesi ve Faaliyetleri Hakkında Yönetmelik uyarınca yetkilendirilmiş kişi veya kuruluşları,</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ç) Kanun: 6750 sayılı Ticari İşlemlerde Taşınır </w:t>
                  </w:r>
                  <w:proofErr w:type="spellStart"/>
                  <w:r w:rsidRPr="00A644F3">
                    <w:rPr>
                      <w:rFonts w:eastAsia="Times New Roman"/>
                      <w:sz w:val="18"/>
                      <w:szCs w:val="18"/>
                      <w:lang w:eastAsia="tr-TR"/>
                    </w:rPr>
                    <w:t>Rehni</w:t>
                  </w:r>
                  <w:proofErr w:type="spellEnd"/>
                  <w:r w:rsidRPr="00A644F3">
                    <w:rPr>
                      <w:rFonts w:eastAsia="Times New Roman"/>
                      <w:sz w:val="18"/>
                      <w:szCs w:val="18"/>
                      <w:lang w:eastAsia="tr-TR"/>
                    </w:rPr>
                    <w:t xml:space="preserve"> Kanununu,</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d) Kredi ve kefalet sağlayan kamu veya özel kurum ve kuruluşlar: Tabi oldukları mevzuat uyarınca kredi ve kefalet sağlamaya yetkili kamu veya özel kurum ve kuruluşları,</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e) Lehine rehin verilen: Mevcut veya müstakbel bir borca güvence teşkil etmek amacıyla lehine taşınır varlığın rehin gösterildiği borçluyu,</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f) Rehin alacaklısı: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varlığın mülkiyetini devralma, alacağını </w:t>
                  </w:r>
                  <w:proofErr w:type="gramStart"/>
                  <w:r w:rsidRPr="00A644F3">
                    <w:rPr>
                      <w:rFonts w:eastAsia="Times New Roman"/>
                      <w:sz w:val="18"/>
                      <w:szCs w:val="18"/>
                      <w:lang w:eastAsia="tr-TR"/>
                    </w:rPr>
                    <w:t>19/10/2005</w:t>
                  </w:r>
                  <w:proofErr w:type="gramEnd"/>
                  <w:r w:rsidRPr="00A644F3">
                    <w:rPr>
                      <w:rFonts w:eastAsia="Times New Roman"/>
                      <w:sz w:val="18"/>
                      <w:szCs w:val="18"/>
                      <w:lang w:eastAsia="tr-TR"/>
                    </w:rPr>
                    <w:t xml:space="preserve"> tarihli ve 5411 sayılı Bankacılık Kanunu uyarınca faaliyet gösteren varlık yönetim şirketlerine veya uygun gördüğü başka bir üçüncü kişiye devretme, rehinli varlıkları kiralama ve lisans haklarını kullanabilme, rehinli varlığı denetleme, değerini tespit ettirme veya genel hükümler çerçevesinde paraya çevirme yetkisi ile bunlarla sınırlı olmaksızın Kanun ve genel hükümlerde belirtilen hak ve yetkilere sahip alacaklıyı ve haleflerini,</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g) Rehin veren: Mevcut veya müstakbel bir borca güvence teşkil etmek amacıyla taşınır varlığını rehin gösteren borçlu veya üçüncü kişiyi,</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ğ) TARES: Rehin sözleşmelerinin tescil, değişiklik ve terkini, rehinli taşınır varlığın devri ve boşalan dereceye geçme hakkının tescili ile tescil edilen hususların sorgulanması ve bunlara ilişkin belge oluşturulması işlemlerinin gerçekleştirildiği Taşınır Rehin Sicil Sistemini,</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h) Taşınır varlık: Kanunun 5 inci maddesinde sayılan varlıkları,</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ı) Yetkili kurum: Bankacılık Düzenleme ve Denetleme Kurumunu,</w:t>
                  </w:r>
                </w:p>
                <w:p w:rsidR="00A644F3" w:rsidRPr="00A644F3" w:rsidRDefault="00A644F3" w:rsidP="00A644F3">
                  <w:pPr>
                    <w:tabs>
                      <w:tab w:val="left" w:pos="566"/>
                    </w:tabs>
                    <w:spacing w:line="240" w:lineRule="exact"/>
                    <w:ind w:firstLine="566"/>
                    <w:rPr>
                      <w:rFonts w:eastAsia="Times New Roman"/>
                      <w:sz w:val="18"/>
                      <w:szCs w:val="18"/>
                      <w:lang w:eastAsia="tr-TR"/>
                    </w:rPr>
                  </w:pPr>
                  <w:proofErr w:type="gramStart"/>
                  <w:r w:rsidRPr="00A644F3">
                    <w:rPr>
                      <w:rFonts w:eastAsia="Times New Roman"/>
                      <w:sz w:val="18"/>
                      <w:szCs w:val="18"/>
                      <w:lang w:eastAsia="tr-TR"/>
                    </w:rPr>
                    <w:t>ifade</w:t>
                  </w:r>
                  <w:proofErr w:type="gramEnd"/>
                  <w:r w:rsidRPr="00A644F3">
                    <w:rPr>
                      <w:rFonts w:eastAsia="Times New Roman"/>
                      <w:sz w:val="18"/>
                      <w:szCs w:val="18"/>
                      <w:lang w:eastAsia="tr-TR"/>
                    </w:rPr>
                    <w:t xml:space="preserve"> eder.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Talepte bulunmaya yetkili kişiler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5 –</w:t>
                  </w:r>
                  <w:r w:rsidRPr="00A644F3">
                    <w:rPr>
                      <w:rFonts w:eastAsia="Times New Roman"/>
                      <w:sz w:val="18"/>
                      <w:szCs w:val="18"/>
                      <w:lang w:eastAsia="tr-TR"/>
                    </w:rPr>
                    <w:t xml:space="preserve"> (1) Rehin hakkının kurulması öncesinde rehin veren, lehine rehin verilen veya rehin alacaklısı ile bunların temsil ve ilzama yetkili temsilcileri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taşınırın değerini tespit ettirmek üzere yetkili mahkemeden talepte bulunabilir.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(2) Rehinli varlığın işlenmesi, başka bir varlık ile birleşmesi veya karışması halinde veya borçlunun temerrüdü sonrasında yalnızca rehin alacaklısı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değerini tespit ettirmek üzere yetkili mahkemeden talepte bulunabilir.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Yetkili mahkeme</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6 –</w:t>
                  </w:r>
                  <w:r w:rsidRPr="00A644F3">
                    <w:rPr>
                      <w:rFonts w:eastAsia="Times New Roman"/>
                      <w:sz w:val="18"/>
                      <w:szCs w:val="18"/>
                      <w:lang w:eastAsia="tr-TR"/>
                    </w:rPr>
                    <w:t xml:space="preserve"> (1) Değer tespiti, Kanunun 13 üncü maddesi uyarınca rehin verenin yerleşim yerindeki sulh hukuk mahkemesinden talep edilir.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Değer tespit zamanı</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7 –</w:t>
                  </w:r>
                  <w:r w:rsidRPr="00A644F3">
                    <w:rPr>
                      <w:rFonts w:eastAsia="Times New Roman"/>
                      <w:sz w:val="18"/>
                      <w:szCs w:val="18"/>
                      <w:lang w:eastAsia="tr-TR"/>
                    </w:rPr>
                    <w:t xml:space="preserve"> (1)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 tespiti, rehin hakkının kurulması öncesinde rehin alacaklısı ile rehin veren arasında herhangi bir değerleme hizmeti alınmaksızın serbestçe kararlaştırılabilir veya yetkili </w:t>
                  </w:r>
                  <w:r w:rsidRPr="00A644F3">
                    <w:rPr>
                      <w:rFonts w:eastAsia="Times New Roman"/>
                      <w:sz w:val="18"/>
                      <w:szCs w:val="18"/>
                      <w:lang w:eastAsia="tr-TR"/>
                    </w:rPr>
                    <w:lastRenderedPageBreak/>
                    <w:t xml:space="preserve">mahkemeden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değerini bu Yönetmelik hükümlerine göre tespit ettirmek üzere talepte bulunulur.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(2) Rehinli varlığın işlenmesi, başka bir varlık ile birleşmesi veya karışması halinde, rehin alacaklısı yeni varlığın değeri ile işleme, karışma ve birleşme oranlarını, bu durumun öğrenilmesini müteakip bu Yönetmelik hükümlerine göre tespit ettirir.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(3) Rehin alacaklısı, borçlunun temerrüde düşmesini müteakip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değerini bu Yönetmelik hükümlerine göre tespit ettirir.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 xml:space="preserve">Değer tespiti yapmaya yetkili </w:t>
                  </w:r>
                  <w:proofErr w:type="gramStart"/>
                  <w:r w:rsidRPr="00A644F3">
                    <w:rPr>
                      <w:rFonts w:eastAsia="Times New Roman"/>
                      <w:b/>
                      <w:sz w:val="18"/>
                      <w:szCs w:val="18"/>
                      <w:lang w:eastAsia="tr-TR"/>
                    </w:rPr>
                    <w:t>eksperler</w:t>
                  </w:r>
                  <w:proofErr w:type="gramEnd"/>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 xml:space="preserve">MADDE 8 – </w:t>
                  </w:r>
                  <w:r w:rsidRPr="00A644F3">
                    <w:rPr>
                      <w:rFonts w:eastAsia="Times New Roman"/>
                      <w:sz w:val="18"/>
                      <w:szCs w:val="18"/>
                      <w:lang w:eastAsia="tr-TR"/>
                    </w:rPr>
                    <w:t xml:space="preserve">(1) Değerleme hizmeti verecek </w:t>
                  </w:r>
                  <w:proofErr w:type="gramStart"/>
                  <w:r w:rsidRPr="00A644F3">
                    <w:rPr>
                      <w:rFonts w:eastAsia="Times New Roman"/>
                      <w:sz w:val="18"/>
                      <w:szCs w:val="18"/>
                      <w:lang w:eastAsia="tr-TR"/>
                    </w:rPr>
                    <w:t>eksper</w:t>
                  </w:r>
                  <w:proofErr w:type="gramEnd"/>
                  <w:r w:rsidRPr="00A644F3">
                    <w:rPr>
                      <w:rFonts w:eastAsia="Times New Roman"/>
                      <w:sz w:val="18"/>
                      <w:szCs w:val="18"/>
                      <w:lang w:eastAsia="tr-TR"/>
                    </w:rPr>
                    <w:t>, üç gün içinde yetkili mahkeme tarafından Bankalara Değerleme Hizmeti Verecek Kuruluşların Yetkilendirilmesi ve Faaliyetleri Hakkında Yönetmelik uyarınca yetkilendirilen kişi veya kuruluşlar arasından görevlendirilir.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(2) Eksper, rehin verenin yerleşim yerinde faaliyet gösteren </w:t>
                  </w:r>
                  <w:proofErr w:type="gramStart"/>
                  <w:r w:rsidRPr="00A644F3">
                    <w:rPr>
                      <w:rFonts w:eastAsia="Times New Roman"/>
                      <w:sz w:val="18"/>
                      <w:szCs w:val="18"/>
                      <w:lang w:eastAsia="tr-TR"/>
                    </w:rPr>
                    <w:t>eksperler</w:t>
                  </w:r>
                  <w:proofErr w:type="gramEnd"/>
                  <w:r w:rsidRPr="00A644F3">
                    <w:rPr>
                      <w:rFonts w:eastAsia="Times New Roman"/>
                      <w:sz w:val="18"/>
                      <w:szCs w:val="18"/>
                      <w:lang w:eastAsia="tr-TR"/>
                    </w:rPr>
                    <w:t xml:space="preserve"> arasından görevlendirilir. Bu yerde faaliyet gösteren yetkili </w:t>
                  </w:r>
                  <w:proofErr w:type="gramStart"/>
                  <w:r w:rsidRPr="00A644F3">
                    <w:rPr>
                      <w:rFonts w:eastAsia="Times New Roman"/>
                      <w:sz w:val="18"/>
                      <w:szCs w:val="18"/>
                      <w:lang w:eastAsia="tr-TR"/>
                    </w:rPr>
                    <w:t>eksper</w:t>
                  </w:r>
                  <w:proofErr w:type="gramEnd"/>
                  <w:r w:rsidRPr="00A644F3">
                    <w:rPr>
                      <w:rFonts w:eastAsia="Times New Roman"/>
                      <w:sz w:val="18"/>
                      <w:szCs w:val="18"/>
                      <w:lang w:eastAsia="tr-TR"/>
                    </w:rPr>
                    <w:t xml:space="preserve"> bulunmaması halinde, eksper en yakın yerde faaliyet gösteren yetkili eksperler arasından görevlendirilir.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(3) İtiraz üzerine o yerde görevlendirilecek başkaca bir yetkili </w:t>
                  </w:r>
                  <w:proofErr w:type="gramStart"/>
                  <w:r w:rsidRPr="00A644F3">
                    <w:rPr>
                      <w:rFonts w:eastAsia="Times New Roman"/>
                      <w:sz w:val="18"/>
                      <w:szCs w:val="18"/>
                      <w:lang w:eastAsia="tr-TR"/>
                    </w:rPr>
                    <w:t>eksper</w:t>
                  </w:r>
                  <w:proofErr w:type="gramEnd"/>
                  <w:r w:rsidRPr="00A644F3">
                    <w:rPr>
                      <w:rFonts w:eastAsia="Times New Roman"/>
                      <w:sz w:val="18"/>
                      <w:szCs w:val="18"/>
                      <w:lang w:eastAsia="tr-TR"/>
                    </w:rPr>
                    <w:t xml:space="preserve"> bulunmaması halinde, görevlendirme en yakın yerde faaliyet gösteren yetkili eksperler arasından yapılır.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(4) Yetkilendirilen </w:t>
                  </w:r>
                  <w:proofErr w:type="gramStart"/>
                  <w:r w:rsidRPr="00A644F3">
                    <w:rPr>
                      <w:rFonts w:eastAsia="Times New Roman"/>
                      <w:sz w:val="18"/>
                      <w:szCs w:val="18"/>
                      <w:lang w:eastAsia="tr-TR"/>
                    </w:rPr>
                    <w:t>eksperler</w:t>
                  </w:r>
                  <w:proofErr w:type="gramEnd"/>
                  <w:r w:rsidRPr="00A644F3">
                    <w:rPr>
                      <w:rFonts w:eastAsia="Times New Roman"/>
                      <w:sz w:val="18"/>
                      <w:szCs w:val="18"/>
                      <w:lang w:eastAsia="tr-TR"/>
                    </w:rPr>
                    <w:t xml:space="preserve"> TARES internet sayfasında güncel olarak yayımlanır.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Değer tespiti</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9 –</w:t>
                  </w:r>
                  <w:r w:rsidRPr="00A644F3">
                    <w:rPr>
                      <w:rFonts w:eastAsia="Times New Roman"/>
                      <w:sz w:val="18"/>
                      <w:szCs w:val="18"/>
                      <w:lang w:eastAsia="tr-TR"/>
                    </w:rPr>
                    <w:t xml:space="preserve"> (1) Rehin sözleşmesinin tarafları, rehin hakkının kurulması öncesinde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taşınırların değerini herhangi bir değerleme hizmeti almaksızın serbestçe kararlaştırabilir. Taraflar arasında değer tespiti konusunda bir anlaşma sağlanamaması halinde, yetkili mahkemeden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değerini tespit ettirmek üzere talepte bulunulur.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(2) Rehinli varlığın işlenmesi, başka bir varlık ile birleşmesi veya karışması halinde veya borçlunun temerrüdü sonrasında yetkili mahkemeden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değerini tespit ettirmek üzere talepte bulunulur.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(3)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 yetkili mahkeme tarafından 8 inci maddeye göre görevlendirilen </w:t>
                  </w:r>
                  <w:proofErr w:type="gramStart"/>
                  <w:r w:rsidRPr="00A644F3">
                    <w:rPr>
                      <w:rFonts w:eastAsia="Times New Roman"/>
                      <w:sz w:val="18"/>
                      <w:szCs w:val="18"/>
                      <w:lang w:eastAsia="tr-TR"/>
                    </w:rPr>
                    <w:t>eksperler</w:t>
                  </w:r>
                  <w:proofErr w:type="gramEnd"/>
                  <w:r w:rsidRPr="00A644F3">
                    <w:rPr>
                      <w:rFonts w:eastAsia="Times New Roman"/>
                      <w:sz w:val="18"/>
                      <w:szCs w:val="18"/>
                      <w:lang w:eastAsia="tr-TR"/>
                    </w:rPr>
                    <w:t xml:space="preserve"> tarafından Bankalara Değerleme Hizmeti Verecek Kuruluşların Yetkilendirilmesi ve Faaliyetleri Hakkında Yönetmelikte belirtilen usul ve esaslara göre tespit edilir.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(4) Yapılan değer tespiti rehin verene ve varsa lehine rehin verilen ile rehin alacaklısına tebliğ edilir.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İtiraz</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10 –</w:t>
                  </w:r>
                  <w:r w:rsidRPr="00A644F3">
                    <w:rPr>
                      <w:rFonts w:eastAsia="Times New Roman"/>
                      <w:sz w:val="18"/>
                      <w:szCs w:val="18"/>
                      <w:lang w:eastAsia="tr-TR"/>
                    </w:rPr>
                    <w:t xml:space="preserve"> (1) Yetkili mahkeme tarafından görevlendirilen </w:t>
                  </w:r>
                  <w:proofErr w:type="gramStart"/>
                  <w:r w:rsidRPr="00A644F3">
                    <w:rPr>
                      <w:rFonts w:eastAsia="Times New Roman"/>
                      <w:sz w:val="18"/>
                      <w:szCs w:val="18"/>
                      <w:lang w:eastAsia="tr-TR"/>
                    </w:rPr>
                    <w:t>eksperlerce</w:t>
                  </w:r>
                  <w:proofErr w:type="gramEnd"/>
                  <w:r w:rsidRPr="00A644F3">
                    <w:rPr>
                      <w:rFonts w:eastAsia="Times New Roman"/>
                      <w:sz w:val="18"/>
                      <w:szCs w:val="18"/>
                      <w:lang w:eastAsia="tr-TR"/>
                    </w:rPr>
                    <w:t xml:space="preserve"> yapılan değer tespitine bu tespitin tebliğinden itibaren üç iş günü içerisinde itiraz edilebilir.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(2) Yetkili mahkeme, itiraz üzerine Bankalara Değerleme Hizmeti Verecek Kuruluşların Yetkilendirilmesi ve Faaliyetleri Hakkında Yönetmelik kapsamında yetkilendirilmiş bir başka </w:t>
                  </w:r>
                  <w:proofErr w:type="gramStart"/>
                  <w:r w:rsidRPr="00A644F3">
                    <w:rPr>
                      <w:rFonts w:eastAsia="Times New Roman"/>
                      <w:sz w:val="18"/>
                      <w:szCs w:val="18"/>
                      <w:lang w:eastAsia="tr-TR"/>
                    </w:rPr>
                    <w:t>eksperi</w:t>
                  </w:r>
                  <w:proofErr w:type="gramEnd"/>
                  <w:r w:rsidRPr="00A644F3">
                    <w:rPr>
                      <w:rFonts w:eastAsia="Times New Roman"/>
                      <w:sz w:val="18"/>
                      <w:szCs w:val="18"/>
                      <w:lang w:eastAsia="tr-TR"/>
                    </w:rPr>
                    <w:t xml:space="preserve"> üç gün içinde görevlendirir.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(3) İtiraz üzerine mahkeme tarafından yaptırılan değer tespiti kesindir. Aynı taraflarca bu tespitin yapıldığı tarihten itibaren iki yıl geçmedikçe aynı taşınır varlıklara ilişkin yeniden değer tespiti talep edilemez.</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(4) Aynı taraflarca itiraz edilmeksizin bir yıl içerisinde yapılan ve aynı taşınır varlıklara ilişkin ikinci değer tespit talebi itiraz hükmündedir.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Ücretler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11 –</w:t>
                  </w:r>
                  <w:r w:rsidRPr="00A644F3">
                    <w:rPr>
                      <w:rFonts w:eastAsia="Times New Roman"/>
                      <w:sz w:val="18"/>
                      <w:szCs w:val="18"/>
                      <w:lang w:eastAsia="tr-TR"/>
                    </w:rPr>
                    <w:t xml:space="preserve"> (1) Değerleme hizmet ücretleri, ilgili kurum ve kuruluşların görüşü alınarak Bakanlık tarafından belirlenir ve ücret tarifesinde ilan edilir.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(2) Değerleme hizmeti verecek </w:t>
                  </w:r>
                  <w:proofErr w:type="gramStart"/>
                  <w:r w:rsidRPr="00A644F3">
                    <w:rPr>
                      <w:rFonts w:eastAsia="Times New Roman"/>
                      <w:sz w:val="18"/>
                      <w:szCs w:val="18"/>
                      <w:lang w:eastAsia="tr-TR"/>
                    </w:rPr>
                    <w:t>eksperler</w:t>
                  </w:r>
                  <w:proofErr w:type="gramEnd"/>
                  <w:r w:rsidRPr="00A644F3">
                    <w:rPr>
                      <w:rFonts w:eastAsia="Times New Roman"/>
                      <w:sz w:val="18"/>
                      <w:szCs w:val="18"/>
                      <w:lang w:eastAsia="tr-TR"/>
                    </w:rPr>
                    <w:t xml:space="preserve"> tarafından tarifede gösterilen hizmet ücretlerini aşan bir ücret talep edilemez.</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(3) Değer tespiti talebinden doğan yargılama giderleri ile değerleme hizmet ücreti taraflarca eşit olarak ödenir.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(4) Bakanlık, ücret tarifesinde gösterilen ücretleri artırmaya ve azaltmaya yetkilidir.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Denetim</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12 –</w:t>
                  </w:r>
                  <w:r w:rsidRPr="00A644F3">
                    <w:rPr>
                      <w:rFonts w:eastAsia="Times New Roman"/>
                      <w:sz w:val="18"/>
                      <w:szCs w:val="18"/>
                      <w:lang w:eastAsia="tr-TR"/>
                    </w:rPr>
                    <w:t xml:space="preserve"> (1) 5411 sayılı Kanun uyarınca faaliyet gösteren bankalar ve finansal kuruluşlara Kanun ve bu Yönetmelik hükümleri uyarınca değerleme hizmeti verecek </w:t>
                  </w:r>
                  <w:proofErr w:type="gramStart"/>
                  <w:r w:rsidRPr="00A644F3">
                    <w:rPr>
                      <w:rFonts w:eastAsia="Times New Roman"/>
                      <w:sz w:val="18"/>
                      <w:szCs w:val="18"/>
                      <w:lang w:eastAsia="tr-TR"/>
                    </w:rPr>
                    <w:t>eksperler</w:t>
                  </w:r>
                  <w:proofErr w:type="gramEnd"/>
                  <w:r w:rsidRPr="00A644F3">
                    <w:rPr>
                      <w:rFonts w:eastAsia="Times New Roman"/>
                      <w:sz w:val="18"/>
                      <w:szCs w:val="18"/>
                      <w:lang w:eastAsia="tr-TR"/>
                    </w:rPr>
                    <w:t xml:space="preserve"> ile bunların faaliyetlerinin gözetim ve denetimi, Bankalara Değerleme Hizmeti Verecek Kuruluşların Yetkilendirilmesi ve Faaliyetleri Hakkında Yönetmelik hükümleri çerçevesinde yetkili kurum tarafından yapılır.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(2) </w:t>
                  </w:r>
                  <w:proofErr w:type="gramStart"/>
                  <w:r w:rsidRPr="00A644F3">
                    <w:rPr>
                      <w:rFonts w:eastAsia="Times New Roman"/>
                      <w:sz w:val="18"/>
                      <w:szCs w:val="18"/>
                      <w:lang w:eastAsia="tr-TR"/>
                    </w:rPr>
                    <w:t>21/11/2012</w:t>
                  </w:r>
                  <w:proofErr w:type="gramEnd"/>
                  <w:r w:rsidRPr="00A644F3">
                    <w:rPr>
                      <w:rFonts w:eastAsia="Times New Roman"/>
                      <w:sz w:val="18"/>
                      <w:szCs w:val="18"/>
                      <w:lang w:eastAsia="tr-TR"/>
                    </w:rPr>
                    <w:t xml:space="preserve"> tarihli ve 6361 sayılı Finansal Kiralama, </w:t>
                  </w:r>
                  <w:proofErr w:type="spellStart"/>
                  <w:r w:rsidRPr="00A644F3">
                    <w:rPr>
                      <w:rFonts w:eastAsia="Times New Roman"/>
                      <w:sz w:val="18"/>
                      <w:szCs w:val="18"/>
                      <w:lang w:eastAsia="tr-TR"/>
                    </w:rPr>
                    <w:t>Faktoring</w:t>
                  </w:r>
                  <w:proofErr w:type="spellEnd"/>
                  <w:r w:rsidRPr="00A644F3">
                    <w:rPr>
                      <w:rFonts w:eastAsia="Times New Roman"/>
                      <w:sz w:val="18"/>
                      <w:szCs w:val="18"/>
                      <w:lang w:eastAsia="tr-TR"/>
                    </w:rPr>
                    <w:t xml:space="preserve"> ve Finansman Şirketleri Kanunu uyarınca faaliyet gösteren finansal kuruluşlara, kredi ve kefalet sağlayan kamu veya özel kurum ve kuruluşlara, rehin alacaklısı tacir ve esnaflara Kanun ve bu Yönetmelik hükümleri uyarınca değerleme hizmeti verecek eksperler ile bunların faaliyetleri Bakanlığın denetimine tabidir.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(3) Bakanlık tarafından ikinci fıkra uyarınca yapılacak denetimlerde Bankalara Değerleme Hizmeti Verecek Kuruluşların Yetkilendirilmesi ve Faaliyetleri Hakkında Yönetmeliğin bağımsızlık, bağımsızlığın ortadan kalkması, mesleki özen ve titizlik, kalite güvence sistemi, değerleme faaliyeti, mesleki sorumluluk sigortası, mesleki sorumluluk sigortasının tazmini, yetki iptali ve sırların saklanması ve kuruma bildirim hükümleri kıyasen uygulanır.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(4) Bakanlık, ikinci fıkra uyarınca yapılacak denetimlerde değerleme hizmeti verecek </w:t>
                  </w:r>
                  <w:proofErr w:type="gramStart"/>
                  <w:r w:rsidRPr="00A644F3">
                    <w:rPr>
                      <w:rFonts w:eastAsia="Times New Roman"/>
                      <w:sz w:val="18"/>
                      <w:szCs w:val="18"/>
                      <w:lang w:eastAsia="tr-TR"/>
                    </w:rPr>
                    <w:t>eksperlerden</w:t>
                  </w:r>
                  <w:proofErr w:type="gramEnd"/>
                  <w:r w:rsidRPr="00A644F3">
                    <w:rPr>
                      <w:rFonts w:eastAsia="Times New Roman"/>
                      <w:sz w:val="18"/>
                      <w:szCs w:val="18"/>
                      <w:lang w:eastAsia="tr-TR"/>
                    </w:rPr>
                    <w:t xml:space="preserve"> Kanun ve </w:t>
                  </w:r>
                  <w:r w:rsidRPr="00A644F3">
                    <w:rPr>
                      <w:rFonts w:eastAsia="Times New Roman"/>
                      <w:sz w:val="18"/>
                      <w:szCs w:val="18"/>
                      <w:lang w:eastAsia="tr-TR"/>
                    </w:rPr>
                    <w:lastRenderedPageBreak/>
                    <w:t>bu Yönetmelik hükümleri ile ilgili göreceği bütün bilgileri gizli dahi olsa istemeye, tüm defter, kayıt ve belgelerini incelemeye yetkilidir.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 xml:space="preserve">(5) Bakanlık tarafından ikinci fıkra uyarınca yapılacak denetimlerde </w:t>
                  </w:r>
                  <w:proofErr w:type="spellStart"/>
                  <w:r w:rsidRPr="00A644F3">
                    <w:rPr>
                      <w:rFonts w:eastAsia="Times New Roman"/>
                      <w:sz w:val="18"/>
                      <w:szCs w:val="18"/>
                      <w:lang w:eastAsia="tr-TR"/>
                    </w:rPr>
                    <w:t>rehne</w:t>
                  </w:r>
                  <w:proofErr w:type="spellEnd"/>
                  <w:r w:rsidRPr="00A644F3">
                    <w:rPr>
                      <w:rFonts w:eastAsia="Times New Roman"/>
                      <w:sz w:val="18"/>
                      <w:szCs w:val="18"/>
                      <w:lang w:eastAsia="tr-TR"/>
                    </w:rPr>
                    <w:t xml:space="preserve"> konu taşınır varlığın değerinin tespiti amacıyla görevlendirilen </w:t>
                  </w:r>
                  <w:proofErr w:type="gramStart"/>
                  <w:r w:rsidRPr="00A644F3">
                    <w:rPr>
                      <w:rFonts w:eastAsia="Times New Roman"/>
                      <w:sz w:val="18"/>
                      <w:szCs w:val="18"/>
                      <w:lang w:eastAsia="tr-TR"/>
                    </w:rPr>
                    <w:t>eksperlerin</w:t>
                  </w:r>
                  <w:proofErr w:type="gramEnd"/>
                  <w:r w:rsidRPr="00A644F3">
                    <w:rPr>
                      <w:rFonts w:eastAsia="Times New Roman"/>
                      <w:sz w:val="18"/>
                      <w:szCs w:val="18"/>
                      <w:lang w:eastAsia="tr-TR"/>
                    </w:rPr>
                    <w:t xml:space="preserve"> denetim öncesi ve sırasındaki yükümlülükleri şunlardır:</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a) Bakanlık tarafından istenilen bilgileri vermek,</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b) Defter, kayıt ve belgeleri incelemeye hazır bulundurmak,</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sz w:val="18"/>
                      <w:szCs w:val="18"/>
                      <w:lang w:eastAsia="tr-TR"/>
                    </w:rPr>
                    <w:t>c) Tüm bilgi işlem sistemini denetimin amaçlarına uygun olarak Bakanlığın denetim yapan personeline açmak,</w:t>
                  </w:r>
                </w:p>
                <w:p w:rsidR="00A644F3" w:rsidRPr="00A644F3" w:rsidRDefault="00A644F3" w:rsidP="00A644F3">
                  <w:pPr>
                    <w:tabs>
                      <w:tab w:val="left" w:pos="566"/>
                    </w:tabs>
                    <w:spacing w:line="240" w:lineRule="exact"/>
                    <w:ind w:firstLine="566"/>
                    <w:rPr>
                      <w:rFonts w:eastAsia="Times New Roman"/>
                      <w:sz w:val="18"/>
                      <w:szCs w:val="18"/>
                      <w:lang w:eastAsia="tr-TR"/>
                    </w:rPr>
                  </w:pPr>
                  <w:proofErr w:type="gramStart"/>
                  <w:r w:rsidRPr="00A644F3">
                    <w:rPr>
                      <w:rFonts w:eastAsia="Times New Roman"/>
                      <w:sz w:val="18"/>
                      <w:szCs w:val="18"/>
                      <w:lang w:eastAsia="tr-TR"/>
                    </w:rPr>
                    <w:t xml:space="preserve">ç) Verilerin güvenliğini sağlamakla ve muhafaza etmek zorunda oldukları her türlü defter, belge ve karneler ile vermek zorunda bulundukları bilgilere ilişkin </w:t>
                  </w:r>
                  <w:proofErr w:type="spellStart"/>
                  <w:r w:rsidRPr="00A644F3">
                    <w:rPr>
                      <w:rFonts w:eastAsia="Times New Roman"/>
                      <w:sz w:val="18"/>
                      <w:szCs w:val="18"/>
                      <w:lang w:eastAsia="tr-TR"/>
                    </w:rPr>
                    <w:t>mikrofiş</w:t>
                  </w:r>
                  <w:proofErr w:type="spellEnd"/>
                  <w:r w:rsidRPr="00A644F3">
                    <w:rPr>
                      <w:rFonts w:eastAsia="Times New Roman"/>
                      <w:sz w:val="18"/>
                      <w:szCs w:val="18"/>
                      <w:lang w:eastAsia="tr-TR"/>
                    </w:rPr>
                    <w:t>, mikrofilm, manyetik teyp, disket ve benzeri ortamlardaki kayıtlarını ve bu kayıtlara erişim veya kayıtları okunabilir hale getirmek için gerekli tüm sistem ve şifrelerini inceleme için ibraz etmek ve işletmek.</w:t>
                  </w:r>
                  <w:proofErr w:type="gramEnd"/>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Yürürlük</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13 –</w:t>
                  </w:r>
                  <w:r w:rsidRPr="00A644F3">
                    <w:rPr>
                      <w:rFonts w:eastAsia="Times New Roman"/>
                      <w:sz w:val="18"/>
                      <w:szCs w:val="18"/>
                      <w:lang w:eastAsia="tr-TR"/>
                    </w:rPr>
                    <w:t xml:space="preserve"> (1) Bu Yönetmelik </w:t>
                  </w:r>
                  <w:proofErr w:type="gramStart"/>
                  <w:r w:rsidRPr="00A644F3">
                    <w:rPr>
                      <w:rFonts w:eastAsia="Times New Roman"/>
                      <w:sz w:val="18"/>
                      <w:szCs w:val="18"/>
                      <w:lang w:eastAsia="tr-TR"/>
                    </w:rPr>
                    <w:t>1/1/2017</w:t>
                  </w:r>
                  <w:proofErr w:type="gramEnd"/>
                  <w:r w:rsidRPr="00A644F3">
                    <w:rPr>
                      <w:rFonts w:eastAsia="Times New Roman"/>
                      <w:sz w:val="18"/>
                      <w:szCs w:val="18"/>
                      <w:lang w:eastAsia="tr-TR"/>
                    </w:rPr>
                    <w:t xml:space="preserve"> tarihinde yürürlüğe girer.</w:t>
                  </w:r>
                </w:p>
                <w:p w:rsidR="00A644F3" w:rsidRPr="00A644F3" w:rsidRDefault="00A644F3" w:rsidP="00A644F3">
                  <w:pPr>
                    <w:tabs>
                      <w:tab w:val="left" w:pos="566"/>
                    </w:tabs>
                    <w:spacing w:line="240" w:lineRule="exact"/>
                    <w:ind w:firstLine="566"/>
                    <w:rPr>
                      <w:rFonts w:eastAsia="Times New Roman"/>
                      <w:b/>
                      <w:sz w:val="18"/>
                      <w:szCs w:val="18"/>
                      <w:lang w:eastAsia="tr-TR"/>
                    </w:rPr>
                  </w:pPr>
                  <w:r w:rsidRPr="00A644F3">
                    <w:rPr>
                      <w:rFonts w:eastAsia="Times New Roman"/>
                      <w:b/>
                      <w:sz w:val="18"/>
                      <w:szCs w:val="18"/>
                      <w:lang w:eastAsia="tr-TR"/>
                    </w:rPr>
                    <w:t>Yürütme</w:t>
                  </w:r>
                </w:p>
                <w:p w:rsidR="00A644F3" w:rsidRPr="00A644F3" w:rsidRDefault="00A644F3" w:rsidP="00A644F3">
                  <w:pPr>
                    <w:tabs>
                      <w:tab w:val="left" w:pos="566"/>
                    </w:tabs>
                    <w:spacing w:line="240" w:lineRule="exact"/>
                    <w:ind w:firstLine="566"/>
                    <w:rPr>
                      <w:rFonts w:eastAsia="Times New Roman"/>
                      <w:sz w:val="18"/>
                      <w:szCs w:val="18"/>
                      <w:lang w:eastAsia="tr-TR"/>
                    </w:rPr>
                  </w:pPr>
                  <w:r w:rsidRPr="00A644F3">
                    <w:rPr>
                      <w:rFonts w:eastAsia="Times New Roman"/>
                      <w:b/>
                      <w:sz w:val="18"/>
                      <w:szCs w:val="18"/>
                      <w:lang w:eastAsia="tr-TR"/>
                    </w:rPr>
                    <w:t>MADDE 14 –</w:t>
                  </w:r>
                  <w:r w:rsidRPr="00A644F3">
                    <w:rPr>
                      <w:rFonts w:eastAsia="Times New Roman"/>
                      <w:sz w:val="18"/>
                      <w:szCs w:val="18"/>
                      <w:lang w:eastAsia="tr-TR"/>
                    </w:rPr>
                    <w:t xml:space="preserve"> (1) Bu Yönetmelik hükümlerini Gümrük ve Ticaret Bakanı yürütür.</w:t>
                  </w:r>
                </w:p>
                <w:p w:rsidR="00A644F3" w:rsidRPr="00A644F3" w:rsidRDefault="00A644F3" w:rsidP="00A644F3">
                  <w:pPr>
                    <w:spacing w:before="100" w:beforeAutospacing="1" w:after="100" w:afterAutospacing="1"/>
                    <w:jc w:val="center"/>
                    <w:rPr>
                      <w:rFonts w:ascii="Arial" w:eastAsia="Times New Roman" w:hAnsi="Arial" w:cs="Arial"/>
                      <w:b/>
                      <w:color w:val="000080"/>
                      <w:sz w:val="18"/>
                      <w:szCs w:val="18"/>
                      <w:lang w:eastAsia="tr-TR"/>
                    </w:rPr>
                  </w:pPr>
                </w:p>
              </w:tc>
            </w:tr>
          </w:tbl>
          <w:p w:rsidR="00A644F3" w:rsidRPr="00A644F3" w:rsidRDefault="00A644F3" w:rsidP="00A644F3">
            <w:pPr>
              <w:jc w:val="center"/>
              <w:rPr>
                <w:rFonts w:eastAsia="Times New Roman"/>
                <w:sz w:val="20"/>
                <w:szCs w:val="20"/>
                <w:lang w:eastAsia="tr-TR"/>
              </w:rPr>
            </w:pPr>
          </w:p>
        </w:tc>
      </w:tr>
    </w:tbl>
    <w:p w:rsidR="00A644F3" w:rsidRPr="00A644F3" w:rsidRDefault="00A644F3" w:rsidP="00A644F3">
      <w:pPr>
        <w:jc w:val="center"/>
        <w:rPr>
          <w:rFonts w:eastAsia="Times New Roman"/>
          <w:lang w:eastAsia="tr-TR"/>
        </w:rPr>
      </w:pPr>
    </w:p>
    <w:p w:rsidR="00630E4F" w:rsidRDefault="00630E4F"/>
    <w:sectPr w:rsidR="0063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B7"/>
    <w:rsid w:val="004A35C9"/>
    <w:rsid w:val="005105B7"/>
    <w:rsid w:val="00630E4F"/>
    <w:rsid w:val="00904E4B"/>
    <w:rsid w:val="00A644F3"/>
    <w:rsid w:val="00F2175D"/>
    <w:rsid w:val="00FF0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05B7"/>
    <w:rPr>
      <w:rFonts w:ascii="Tahoma" w:hAnsi="Tahoma" w:cs="Tahoma"/>
      <w:sz w:val="16"/>
      <w:szCs w:val="16"/>
    </w:rPr>
  </w:style>
  <w:style w:type="character" w:customStyle="1" w:styleId="BalonMetniChar">
    <w:name w:val="Balon Metni Char"/>
    <w:basedOn w:val="VarsaylanParagrafYazTipi"/>
    <w:link w:val="BalonMetni"/>
    <w:uiPriority w:val="99"/>
    <w:semiHidden/>
    <w:rsid w:val="005105B7"/>
    <w:rPr>
      <w:rFonts w:ascii="Tahoma" w:hAnsi="Tahoma" w:cs="Tahoma"/>
      <w:sz w:val="16"/>
      <w:szCs w:val="16"/>
    </w:rPr>
  </w:style>
  <w:style w:type="paragraph" w:styleId="NormalWeb">
    <w:name w:val="Normal (Web)"/>
    <w:basedOn w:val="Normal"/>
    <w:rsid w:val="00A644F3"/>
    <w:pPr>
      <w:spacing w:before="100" w:beforeAutospacing="1" w:after="100" w:afterAutospacing="1"/>
      <w:jc w:val="left"/>
    </w:pPr>
    <w:rPr>
      <w:rFonts w:eastAsia="Times New Roman"/>
      <w:lang w:eastAsia="tr-TR"/>
    </w:rPr>
  </w:style>
  <w:style w:type="paragraph" w:customStyle="1" w:styleId="Balk11pt">
    <w:name w:val="Başlık 11 pt"/>
    <w:rsid w:val="00A644F3"/>
    <w:pPr>
      <w:tabs>
        <w:tab w:val="left" w:pos="566"/>
      </w:tabs>
      <w:ind w:firstLine="566"/>
    </w:pPr>
    <w:rPr>
      <w:rFonts w:eastAsia="Times New Roman"/>
      <w:sz w:val="22"/>
      <w:szCs w:val="22"/>
      <w:u w:val="single"/>
      <w:lang w:eastAsia="tr-TR"/>
    </w:rPr>
  </w:style>
  <w:style w:type="paragraph" w:customStyle="1" w:styleId="OrtaBalkBold">
    <w:name w:val="Orta Başlık Bold"/>
    <w:rsid w:val="00A644F3"/>
    <w:pPr>
      <w:tabs>
        <w:tab w:val="left" w:pos="566"/>
      </w:tabs>
      <w:jc w:val="center"/>
    </w:pPr>
    <w:rPr>
      <w:rFonts w:eastAsia="Times New Roman"/>
      <w:b/>
      <w:bCs/>
      <w:sz w:val="19"/>
      <w:szCs w:val="19"/>
      <w:lang w:eastAsia="tr-TR"/>
    </w:rPr>
  </w:style>
  <w:style w:type="paragraph" w:customStyle="1" w:styleId="Metin">
    <w:name w:val="Metin"/>
    <w:rsid w:val="00A644F3"/>
    <w:pPr>
      <w:tabs>
        <w:tab w:val="left" w:pos="566"/>
      </w:tabs>
      <w:ind w:firstLine="566"/>
    </w:pPr>
    <w:rPr>
      <w:rFonts w:eastAsia="Times New Roman"/>
      <w:sz w:val="19"/>
      <w:szCs w:val="19"/>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05B7"/>
    <w:rPr>
      <w:rFonts w:ascii="Tahoma" w:hAnsi="Tahoma" w:cs="Tahoma"/>
      <w:sz w:val="16"/>
      <w:szCs w:val="16"/>
    </w:rPr>
  </w:style>
  <w:style w:type="character" w:customStyle="1" w:styleId="BalonMetniChar">
    <w:name w:val="Balon Metni Char"/>
    <w:basedOn w:val="VarsaylanParagrafYazTipi"/>
    <w:link w:val="BalonMetni"/>
    <w:uiPriority w:val="99"/>
    <w:semiHidden/>
    <w:rsid w:val="005105B7"/>
    <w:rPr>
      <w:rFonts w:ascii="Tahoma" w:hAnsi="Tahoma" w:cs="Tahoma"/>
      <w:sz w:val="16"/>
      <w:szCs w:val="16"/>
    </w:rPr>
  </w:style>
  <w:style w:type="paragraph" w:styleId="NormalWeb">
    <w:name w:val="Normal (Web)"/>
    <w:basedOn w:val="Normal"/>
    <w:rsid w:val="00A644F3"/>
    <w:pPr>
      <w:spacing w:before="100" w:beforeAutospacing="1" w:after="100" w:afterAutospacing="1"/>
      <w:jc w:val="left"/>
    </w:pPr>
    <w:rPr>
      <w:rFonts w:eastAsia="Times New Roman"/>
      <w:lang w:eastAsia="tr-TR"/>
    </w:rPr>
  </w:style>
  <w:style w:type="paragraph" w:customStyle="1" w:styleId="Balk11pt">
    <w:name w:val="Başlık 11 pt"/>
    <w:rsid w:val="00A644F3"/>
    <w:pPr>
      <w:tabs>
        <w:tab w:val="left" w:pos="566"/>
      </w:tabs>
      <w:ind w:firstLine="566"/>
    </w:pPr>
    <w:rPr>
      <w:rFonts w:eastAsia="Times New Roman"/>
      <w:sz w:val="22"/>
      <w:szCs w:val="22"/>
      <w:u w:val="single"/>
      <w:lang w:eastAsia="tr-TR"/>
    </w:rPr>
  </w:style>
  <w:style w:type="paragraph" w:customStyle="1" w:styleId="OrtaBalkBold">
    <w:name w:val="Orta Başlık Bold"/>
    <w:rsid w:val="00A644F3"/>
    <w:pPr>
      <w:tabs>
        <w:tab w:val="left" w:pos="566"/>
      </w:tabs>
      <w:jc w:val="center"/>
    </w:pPr>
    <w:rPr>
      <w:rFonts w:eastAsia="Times New Roman"/>
      <w:b/>
      <w:bCs/>
      <w:sz w:val="19"/>
      <w:szCs w:val="19"/>
      <w:lang w:eastAsia="tr-TR"/>
    </w:rPr>
  </w:style>
  <w:style w:type="paragraph" w:customStyle="1" w:styleId="Metin">
    <w:name w:val="Metin"/>
    <w:rsid w:val="00A644F3"/>
    <w:pPr>
      <w:tabs>
        <w:tab w:val="left" w:pos="566"/>
      </w:tabs>
      <w:ind w:firstLine="566"/>
    </w:pPr>
    <w:rPr>
      <w:rFonts w:eastAsia="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457296">
      <w:bodyDiv w:val="1"/>
      <w:marLeft w:val="0"/>
      <w:marRight w:val="0"/>
      <w:marTop w:val="0"/>
      <w:marBottom w:val="0"/>
      <w:divBdr>
        <w:top w:val="none" w:sz="0" w:space="0" w:color="auto"/>
        <w:left w:val="none" w:sz="0" w:space="0" w:color="auto"/>
        <w:bottom w:val="none" w:sz="0" w:space="0" w:color="auto"/>
        <w:right w:val="none" w:sz="0" w:space="0" w:color="auto"/>
      </w:divBdr>
      <w:divsChild>
        <w:div w:id="1709648954">
          <w:marLeft w:val="0"/>
          <w:marRight w:val="0"/>
          <w:marTop w:val="0"/>
          <w:marBottom w:val="0"/>
          <w:divBdr>
            <w:top w:val="none" w:sz="0" w:space="0" w:color="auto"/>
            <w:left w:val="none" w:sz="0" w:space="0" w:color="auto"/>
            <w:bottom w:val="none" w:sz="0" w:space="0" w:color="auto"/>
            <w:right w:val="none" w:sz="0" w:space="0" w:color="auto"/>
          </w:divBdr>
          <w:divsChild>
            <w:div w:id="815293016">
              <w:marLeft w:val="0"/>
              <w:marRight w:val="0"/>
              <w:marTop w:val="0"/>
              <w:marBottom w:val="0"/>
              <w:divBdr>
                <w:top w:val="none" w:sz="0" w:space="0" w:color="auto"/>
                <w:left w:val="none" w:sz="0" w:space="0" w:color="auto"/>
                <w:bottom w:val="none" w:sz="0" w:space="0" w:color="auto"/>
                <w:right w:val="none" w:sz="0" w:space="0" w:color="auto"/>
              </w:divBdr>
              <w:divsChild>
                <w:div w:id="6947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8360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2017-01-06T14:04:00Z</dcterms:created>
  <dcterms:modified xsi:type="dcterms:W3CDTF">2017-01-06T14:04:00Z</dcterms:modified>
</cp:coreProperties>
</file>