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Ind w:w="579" w:type="dxa"/>
        <w:tblCellMar>
          <w:left w:w="0" w:type="dxa"/>
          <w:right w:w="0" w:type="dxa"/>
        </w:tblCellMar>
        <w:tblLook w:val="04A0" w:firstRow="1" w:lastRow="0" w:firstColumn="1" w:lastColumn="0" w:noHBand="0" w:noVBand="1"/>
      </w:tblPr>
      <w:tblGrid>
        <w:gridCol w:w="2931"/>
        <w:gridCol w:w="2931"/>
        <w:gridCol w:w="2927"/>
      </w:tblGrid>
      <w:tr w:rsidR="008B4A0B" w:rsidTr="008B4A0B">
        <w:trPr>
          <w:gridAfter w:val="1"/>
          <w:wAfter w:w="2927" w:type="dxa"/>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B4A0B" w:rsidRDefault="008B4A0B">
            <w:pPr>
              <w:spacing w:line="240" w:lineRule="exact"/>
              <w:rPr>
                <w:rFonts w:ascii="Arial" w:hAnsi="Arial" w:cs="Arial"/>
                <w:sz w:val="16"/>
                <w:szCs w:val="16"/>
                <w:lang w:eastAsia="tr-TR"/>
              </w:rPr>
            </w:pPr>
            <w:r>
              <w:rPr>
                <w:rFonts w:ascii="Arial" w:hAnsi="Arial" w:cs="Arial"/>
                <w:sz w:val="16"/>
                <w:szCs w:val="16"/>
                <w:lang w:eastAsia="tr-TR"/>
              </w:rPr>
              <w:t>26 Temmuz 2017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B4A0B" w:rsidRDefault="008B4A0B">
            <w:pPr>
              <w:spacing w:line="240" w:lineRule="exact"/>
              <w:jc w:val="center"/>
              <w:rPr>
                <w:rFonts w:ascii="Palatino Linotype" w:hAnsi="Palatino Linotype"/>
                <w:b/>
                <w:bCs/>
                <w:color w:val="800080"/>
                <w:sz w:val="24"/>
                <w:szCs w:val="24"/>
                <w:lang w:eastAsia="tr-TR"/>
              </w:rPr>
            </w:pPr>
            <w:r>
              <w:rPr>
                <w:rFonts w:ascii="Palatino Linotype" w:hAnsi="Palatino Linotype"/>
                <w:b/>
                <w:bCs/>
                <w:color w:val="800080"/>
                <w:sz w:val="24"/>
                <w:szCs w:val="24"/>
                <w:lang w:eastAsia="tr-TR"/>
              </w:rPr>
              <w:t>Resmî Gazete</w:t>
            </w:r>
          </w:p>
        </w:tc>
      </w:tr>
      <w:tr w:rsidR="008B4A0B" w:rsidTr="008B4A0B">
        <w:trPr>
          <w:trHeight w:val="480"/>
          <w:jc w:val="center"/>
        </w:trPr>
        <w:tc>
          <w:tcPr>
            <w:tcW w:w="8789" w:type="dxa"/>
            <w:gridSpan w:val="3"/>
            <w:tcMar>
              <w:top w:w="0" w:type="dxa"/>
              <w:left w:w="108" w:type="dxa"/>
              <w:bottom w:w="0" w:type="dxa"/>
              <w:right w:w="108" w:type="dxa"/>
            </w:tcMar>
            <w:vAlign w:val="center"/>
            <w:hideMark/>
          </w:tcPr>
          <w:p w:rsidR="008B4A0B" w:rsidRDefault="008B4A0B">
            <w:pPr>
              <w:spacing w:before="100" w:beforeAutospacing="1" w:after="100" w:afterAutospacing="1"/>
              <w:jc w:val="center"/>
              <w:rPr>
                <w:rFonts w:ascii="Arial" w:hAnsi="Arial" w:cs="Arial"/>
                <w:b/>
                <w:bCs/>
                <w:color w:val="000080"/>
                <w:sz w:val="18"/>
                <w:szCs w:val="18"/>
                <w:lang w:eastAsia="tr-TR"/>
              </w:rPr>
            </w:pPr>
            <w:r>
              <w:rPr>
                <w:rFonts w:ascii="Arial" w:hAnsi="Arial" w:cs="Arial"/>
                <w:b/>
                <w:bCs/>
                <w:color w:val="000080"/>
                <w:sz w:val="18"/>
                <w:szCs w:val="18"/>
                <w:lang w:eastAsia="tr-TR"/>
              </w:rPr>
              <w:t>TEBLİĞ</w:t>
            </w:r>
          </w:p>
        </w:tc>
      </w:tr>
      <w:tr w:rsidR="008B4A0B" w:rsidTr="008B4A0B">
        <w:trPr>
          <w:trHeight w:val="480"/>
          <w:jc w:val="center"/>
        </w:trPr>
        <w:tc>
          <w:tcPr>
            <w:tcW w:w="8789" w:type="dxa"/>
            <w:gridSpan w:val="3"/>
            <w:tcMar>
              <w:top w:w="0" w:type="dxa"/>
              <w:left w:w="108" w:type="dxa"/>
              <w:bottom w:w="0" w:type="dxa"/>
              <w:right w:w="108" w:type="dxa"/>
            </w:tcMar>
            <w:vAlign w:val="center"/>
          </w:tcPr>
          <w:p w:rsidR="008B4A0B" w:rsidRDefault="008B4A0B">
            <w:pPr>
              <w:spacing w:line="240" w:lineRule="exact"/>
              <w:ind w:firstLine="566"/>
              <w:jc w:val="both"/>
              <w:rPr>
                <w:rFonts w:ascii="Times New Roman" w:hAnsi="Times New Roman"/>
                <w:sz w:val="18"/>
                <w:szCs w:val="18"/>
                <w:u w:val="single"/>
                <w:lang w:eastAsia="tr-TR"/>
              </w:rPr>
            </w:pPr>
            <w:r>
              <w:rPr>
                <w:rFonts w:ascii="Times New Roman" w:hAnsi="Times New Roman"/>
                <w:sz w:val="18"/>
                <w:szCs w:val="18"/>
                <w:u w:val="single"/>
                <w:lang w:eastAsia="tr-TR"/>
              </w:rPr>
              <w:t>Ekonomi Bakanlığından:</w:t>
            </w:r>
          </w:p>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YATIRIMLARDA DEVLET YARDIMLARI HAKKINDA KARARIN</w:t>
            </w:r>
          </w:p>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UYGULANMASINA İLİŞKİN TEBLİĞ (TEBLİĞ NO: 2012/1)’DE</w:t>
            </w:r>
          </w:p>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DEĞİŞİKLİK YAPILMASINA DAİR TEBLİĞ</w:t>
            </w:r>
          </w:p>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(TEBLİĞ NO: 2017/1)</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1 –</w:t>
            </w:r>
            <w:r>
              <w:rPr>
                <w:rFonts w:ascii="Times New Roman" w:hAnsi="Times New Roman"/>
                <w:sz w:val="18"/>
                <w:szCs w:val="18"/>
                <w:lang w:eastAsia="tr-TR"/>
              </w:rPr>
              <w:t xml:space="preserve"> </w:t>
            </w:r>
            <w:proofErr w:type="gramStart"/>
            <w:r>
              <w:rPr>
                <w:rFonts w:ascii="Times New Roman" w:hAnsi="Times New Roman"/>
                <w:sz w:val="18"/>
                <w:szCs w:val="18"/>
                <w:lang w:eastAsia="tr-TR"/>
              </w:rPr>
              <w:t>20/6/2012</w:t>
            </w:r>
            <w:proofErr w:type="gramEnd"/>
            <w:r>
              <w:rPr>
                <w:rFonts w:ascii="Times New Roman" w:hAnsi="Times New Roman"/>
                <w:sz w:val="18"/>
                <w:szCs w:val="18"/>
                <w:lang w:eastAsia="tr-TR"/>
              </w:rPr>
              <w:t xml:space="preserve"> tarihli ve 28329 sayılı Resmî </w:t>
            </w:r>
            <w:proofErr w:type="spellStart"/>
            <w:r>
              <w:rPr>
                <w:rFonts w:ascii="Times New Roman" w:hAnsi="Times New Roman"/>
                <w:sz w:val="18"/>
                <w:szCs w:val="18"/>
                <w:lang w:eastAsia="tr-TR"/>
              </w:rPr>
              <w:t>Gazete’de</w:t>
            </w:r>
            <w:proofErr w:type="spellEnd"/>
            <w:r>
              <w:rPr>
                <w:rFonts w:ascii="Times New Roman" w:hAnsi="Times New Roman"/>
                <w:sz w:val="18"/>
                <w:szCs w:val="18"/>
                <w:lang w:eastAsia="tr-TR"/>
              </w:rPr>
              <w:t xml:space="preserve"> yayımlanan Yatırımlarda Devlet Yardımları Hakkında Kararın Uygulanmasına İlişkin Tebliğ (Tebliğ No:  2012/1)’in 5 inci maddesinin birinci fıkrası aşağıdaki şekilde değiştirilmiştir. </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“(1) Teşvik belgesi düzenlenebilmesi için Bakanlığa müracaat edilir. Ancak, genel ve bölgesel teşvik uygulamaları kapsamında yer alan, sabit yatırım tutarı </w:t>
            </w:r>
            <w:proofErr w:type="spellStart"/>
            <w:r>
              <w:rPr>
                <w:rFonts w:ascii="Times New Roman" w:hAnsi="Times New Roman"/>
                <w:sz w:val="18"/>
                <w:szCs w:val="18"/>
                <w:lang w:eastAsia="tr-TR"/>
              </w:rPr>
              <w:t>onmilyon</w:t>
            </w:r>
            <w:proofErr w:type="spellEnd"/>
            <w:r>
              <w:rPr>
                <w:rFonts w:ascii="Times New Roman" w:hAnsi="Times New Roman"/>
                <w:sz w:val="18"/>
                <w:szCs w:val="18"/>
                <w:lang w:eastAsia="tr-TR"/>
              </w:rPr>
              <w:t xml:space="preserve"> Türk Lirasını aşmayan ve Ek-4’te belirtilen yatırımlar için firmanın tercihine bağlı olarak yatırımın yapılacağı yerdeki yerel birimlere de müracaat edilebilir.”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2 –</w:t>
            </w:r>
            <w:r>
              <w:rPr>
                <w:rFonts w:ascii="Times New Roman" w:hAnsi="Times New Roman"/>
                <w:sz w:val="18"/>
                <w:szCs w:val="18"/>
                <w:lang w:eastAsia="tr-TR"/>
              </w:rPr>
              <w:t xml:space="preserve"> Aynı Tebliğin 7 </w:t>
            </w:r>
            <w:proofErr w:type="spellStart"/>
            <w:r>
              <w:rPr>
                <w:rFonts w:ascii="Times New Roman" w:hAnsi="Times New Roman"/>
                <w:sz w:val="18"/>
                <w:szCs w:val="18"/>
                <w:lang w:eastAsia="tr-TR"/>
              </w:rPr>
              <w:t>nci</w:t>
            </w:r>
            <w:proofErr w:type="spellEnd"/>
            <w:r>
              <w:rPr>
                <w:rFonts w:ascii="Times New Roman" w:hAnsi="Times New Roman"/>
                <w:sz w:val="18"/>
                <w:szCs w:val="18"/>
                <w:lang w:eastAsia="tr-TR"/>
              </w:rPr>
              <w:t xml:space="preserve"> maddesinin altıncı fıkrası aşağıdaki şekilde değiştirilmiştir. </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“(6) Kararın 17 </w:t>
            </w:r>
            <w:proofErr w:type="spellStart"/>
            <w:r>
              <w:rPr>
                <w:rFonts w:ascii="Times New Roman" w:hAnsi="Times New Roman"/>
                <w:sz w:val="18"/>
                <w:szCs w:val="18"/>
                <w:lang w:eastAsia="tr-TR"/>
              </w:rPr>
              <w:t>nci</w:t>
            </w:r>
            <w:proofErr w:type="spellEnd"/>
            <w:r>
              <w:rPr>
                <w:rFonts w:ascii="Times New Roman" w:hAnsi="Times New Roman"/>
                <w:sz w:val="18"/>
                <w:szCs w:val="18"/>
                <w:lang w:eastAsia="tr-TR"/>
              </w:rPr>
              <w:t xml:space="preserve"> maddesinin birinci fıkrasının (j) bendi kapsamında yer alan enerji verimliliğine yönelik projelerin değerlendirilmesinde aşağıdaki hükümler uygulanır.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a) Kararın 17 </w:t>
            </w:r>
            <w:proofErr w:type="spellStart"/>
            <w:r>
              <w:rPr>
                <w:rFonts w:ascii="Times New Roman" w:hAnsi="Times New Roman"/>
                <w:sz w:val="18"/>
                <w:szCs w:val="18"/>
                <w:lang w:eastAsia="tr-TR"/>
              </w:rPr>
              <w:t>nci</w:t>
            </w:r>
            <w:proofErr w:type="spellEnd"/>
            <w:r>
              <w:rPr>
                <w:rFonts w:ascii="Times New Roman" w:hAnsi="Times New Roman"/>
                <w:sz w:val="18"/>
                <w:szCs w:val="18"/>
                <w:lang w:eastAsia="tr-TR"/>
              </w:rPr>
              <w:t xml:space="preserve"> maddesinin birinci fıkrasının (j) bendinde belirtilen başvuru </w:t>
            </w:r>
            <w:proofErr w:type="gramStart"/>
            <w:r>
              <w:rPr>
                <w:rFonts w:ascii="Times New Roman" w:hAnsi="Times New Roman"/>
                <w:sz w:val="18"/>
                <w:szCs w:val="18"/>
                <w:lang w:eastAsia="tr-TR"/>
              </w:rPr>
              <w:t>kriterlerini</w:t>
            </w:r>
            <w:proofErr w:type="gramEnd"/>
            <w:r>
              <w:rPr>
                <w:rFonts w:ascii="Times New Roman" w:hAnsi="Times New Roman"/>
                <w:sz w:val="18"/>
                <w:szCs w:val="18"/>
                <w:lang w:eastAsia="tr-TR"/>
              </w:rPr>
              <w:t xml:space="preserve"> sağlayan yatırımcı, bu yatırım ile en az yüzde yirmi oranında enerji tasarrufu sağlayacağını ve azami 5 yıl içerisinde yatırımın geri döneceğini taahhüt ederek, yatırıma ilişkin makine ve teçhizat listeleri ile birlikte Bakanlığa müracaat eder.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b) Bakanlıkça yapılacak ön inceleme neticesinde uygun bulunan yatırımlar için enerji verimliliği </w:t>
            </w:r>
            <w:proofErr w:type="gramStart"/>
            <w:r>
              <w:rPr>
                <w:rFonts w:ascii="Times New Roman" w:hAnsi="Times New Roman"/>
                <w:sz w:val="18"/>
                <w:szCs w:val="18"/>
                <w:lang w:eastAsia="tr-TR"/>
              </w:rPr>
              <w:t>kriterlerini</w:t>
            </w:r>
            <w:proofErr w:type="gramEnd"/>
            <w:r>
              <w:rPr>
                <w:rFonts w:ascii="Times New Roman" w:hAnsi="Times New Roman"/>
                <w:sz w:val="18"/>
                <w:szCs w:val="18"/>
                <w:lang w:eastAsia="tr-TR"/>
              </w:rPr>
              <w:t xml:space="preserve"> karşılayıp karşılamadığı ve sunulan makine ve teçhizat listesinin amaca uygun olup olmadığına dair enerji verimliliği raporu, Bakanlık tarafından Enerji ve Tabii Kaynaklar Bakanlığından yazılı olarak temin edilir. </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c) Enerji ve Tabii Kaynaklar Bakanlığı, sunulan proje dosyası üzerinden yapacağı inceleme ve değerlendirme sonucu, uygun görülen makine ve teçhizat listesini de içerecek şekilde raporunu hazırlar ve bu rapor dikkate alınmak suretiyle Bakanlıkça teşvik belgesi düzenlenir.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ç) Enerji ve Tabii Kaynaklar Bakanlığı görüşünü oluştururken, gerekli gördüğü teknik içerikli ilave bilgi ve belgeleri yatırımcıdan doğrudan istemeye, gerekli görmesi halinde yatırım projelerinin hazırlanması ile ilgili formatları belirleyip internet sitesi üzerinden kılavuz olarak yayımlamaya, değerlendirme usul ve esaslarını ilan etmeye yetkilidir. Yatırımcı, bu kapsamdaki talepleri yerine getirmekle yükümlüdür.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d) </w:t>
            </w:r>
            <w:proofErr w:type="gramStart"/>
            <w:r>
              <w:rPr>
                <w:rFonts w:ascii="Times New Roman" w:hAnsi="Times New Roman"/>
                <w:sz w:val="18"/>
                <w:szCs w:val="18"/>
                <w:lang w:eastAsia="tr-TR"/>
              </w:rPr>
              <w:t>18/4/2007</w:t>
            </w:r>
            <w:proofErr w:type="gramEnd"/>
            <w:r>
              <w:rPr>
                <w:rFonts w:ascii="Times New Roman" w:hAnsi="Times New Roman"/>
                <w:sz w:val="18"/>
                <w:szCs w:val="18"/>
                <w:lang w:eastAsia="tr-TR"/>
              </w:rPr>
              <w:t xml:space="preserve"> tarihli ve 5627 sayılı Enerji Verimliliği Kanunu kapsamına giren işletmeler için ilgili mevzuat hükümlerini yerine getirmiş olmaları şartı aranır.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e) Yatırımın tamamlanmasını müteakip, söz konusu yatırımın belirlenen </w:t>
            </w:r>
            <w:proofErr w:type="gramStart"/>
            <w:r>
              <w:rPr>
                <w:rFonts w:ascii="Times New Roman" w:hAnsi="Times New Roman"/>
                <w:sz w:val="18"/>
                <w:szCs w:val="18"/>
                <w:lang w:eastAsia="tr-TR"/>
              </w:rPr>
              <w:t>kriterleri</w:t>
            </w:r>
            <w:proofErr w:type="gramEnd"/>
            <w:r>
              <w:rPr>
                <w:rFonts w:ascii="Times New Roman" w:hAnsi="Times New Roman"/>
                <w:sz w:val="18"/>
                <w:szCs w:val="18"/>
                <w:lang w:eastAsia="tr-TR"/>
              </w:rPr>
              <w:t xml:space="preserve"> sağlayıp sağlamadığı hususu, Enerji ve Tabii Kaynaklar Bakanlığı tarafından talep edilen ve yatırımcı tarafından sunulan bilgi ve belgelere istinaden yapılacak hesaplama ve yerinde yapılacak fiziki inceleme neticesinde düzenlenecek gerçekleşme raporu ile tespit edilir ve Bakanlığa bildirilir.”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3 –</w:t>
            </w:r>
            <w:r>
              <w:rPr>
                <w:rFonts w:ascii="Times New Roman" w:hAnsi="Times New Roman"/>
                <w:sz w:val="18"/>
                <w:szCs w:val="18"/>
                <w:lang w:eastAsia="tr-TR"/>
              </w:rPr>
              <w:t xml:space="preserve"> Aynı Tebliğin 9 uncu maddesinin ikinci fıkrası ile dördüncü fıkrasının (a), (b), (ç), (d) ve (e) bentleri aşağıdaki şekilde değiştirilmiş ve dördüncü fıkraya aşağıdaki (f) bendi eklenmiştir.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“(2) Komple yeni, tevsi, modernizasyon ve ürün çeşitlendirme cinslerindeki yatırımların aynı il sınırları içinde olması gerekir. Bu hüküm, ilgili olduğu kararlardaki lehe gelen hükümler saklı kalmak kaydı ile daha önceki kararlara göre düzenlenen teşvik belgeleri kapsamı yatırımlara da uygulanır. Belge kapsamı yatırımın bir bölümünün organize sanayi bölgesi içinde bir bölümünün ise dışında olması durumunda, organize sanayi bölgesi dışında geçerli olan destekler uygulanır.”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“a) Süt yönlü büyükbaş/küçükbaş hayvan yetiştiriciliği yatırımlarında yetiştiricilik başlangıç olmak kaydıyla süt mamulleri üretimi ve/veya proje bazında yem ünitesi (yem bitkileri yetiştiriciliği ve/veya yem üretimi).</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b) Et yönlü büyükbaş/küçükbaş besicilik yatırımlarında, yetiştiricilik başlangıç olmak kaydıyla kesimhane ve/veya proje bazında yem ünitesi (yem bitkileri yetiştiriciliği ve/veya yem üretimi).”</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“ç) Damızlık kanatlı yetiştiriciliği yatırımlarında, damızlık kanatlı yetiştiriciliği ve kuluçkahane ile proje bazında yem üretimi.</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d) Et yönlü kanatlı yetiştiriciliği yatırımlarında, kanatlı yetiştiriciliği ve kesimhane başlangıç olmak kaydıyla, ileri işleme ve/veya soğuk hava deposu ve/veya yem tesisi.</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e) Yumurta yönlü kanatlı yetiştiriciliği yatırımlarında, kanatlı yetiştiriciliği başlangıç olmak kaydıyla, yem tesisi ve/veya soğuk hava deposu ve/veya yumurta tasnif ve paketleme tasnif ve paketleme ünitesi.”</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“f) Et yönlü ve damızlık kanatlı yetiştiriciliği yatırımlarında sözleşmeli yetiştiricilik de dikkate alınır.”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4 –</w:t>
            </w:r>
            <w:r>
              <w:rPr>
                <w:rFonts w:ascii="Times New Roman" w:hAnsi="Times New Roman"/>
                <w:sz w:val="18"/>
                <w:szCs w:val="18"/>
                <w:lang w:eastAsia="tr-TR"/>
              </w:rPr>
              <w:t xml:space="preserve"> Aynı Tebliğin 11 inci maddesinin birinci fıkrasının sonuna aşağıdaki cümle eklenmiştir.</w:t>
            </w:r>
          </w:p>
          <w:p w:rsidR="008B4A0B" w:rsidRDefault="008B4A0B">
            <w:pPr>
              <w:spacing w:line="240" w:lineRule="exact"/>
              <w:jc w:val="both"/>
              <w:rPr>
                <w:rFonts w:ascii="Times New Roman" w:hAnsi="Times New Roman"/>
                <w:sz w:val="18"/>
                <w:szCs w:val="18"/>
                <w:lang w:eastAsia="tr-TR"/>
              </w:rPr>
            </w:pPr>
            <w:r>
              <w:rPr>
                <w:rFonts w:ascii="Times New Roman" w:hAnsi="Times New Roman"/>
                <w:sz w:val="18"/>
                <w:szCs w:val="18"/>
                <w:lang w:eastAsia="tr-TR"/>
              </w:rPr>
              <w:t>“Bu şekilde ithalatı yapılan makine-teçhizat, teşvik belgesinde kayıtlı diğer destek unsurlarından da faydalandırılır.”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5 –</w:t>
            </w:r>
            <w:r>
              <w:rPr>
                <w:rFonts w:ascii="Times New Roman" w:hAnsi="Times New Roman"/>
                <w:sz w:val="18"/>
                <w:szCs w:val="18"/>
                <w:lang w:eastAsia="tr-TR"/>
              </w:rPr>
              <w:t xml:space="preserve"> Aynı Tebliğin 14 üncü maddesinin dokuzuncu fıkrası aşağıdaki şekilde değiştirilmiştir.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lastRenderedPageBreak/>
              <w:t>“(9) Genel teşvik uygulamaları kapsamında desteklenen, tersanelerin gemi inşa yatırımlarında tamamlama vizesi şartı aranmaksızın belge konusu geminin yapımında istihdam edilen sigortalılar için ödenmesi gereken sigorta primi işveren hissesinin asgari ücrete tekabül eden kısmı Bakanlıkça karşılanabilir. Bu destek, gemi inşası devam etse dahi en fazla on sekiz ay süreyle uygulanır. Yat, yüzer tesis ve deniz araçlarının inşasına yönelik yatırımlar da bu kapsamda değerlendirilir. Uygulamaya, teşvik belgesinde kayıtlı istihdam sayısını aşmamak üzere ödemeye esas bilgilerin Sosyal Güvenlik Kurumuna bildirilmesini takip eden aydan itibaren başlanır.”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6 –</w:t>
            </w:r>
            <w:r>
              <w:rPr>
                <w:rFonts w:ascii="Times New Roman" w:hAnsi="Times New Roman"/>
                <w:sz w:val="18"/>
                <w:szCs w:val="18"/>
                <w:lang w:eastAsia="tr-TR"/>
              </w:rPr>
              <w:t xml:space="preserve"> Aynı Tebliğin 16 </w:t>
            </w:r>
            <w:proofErr w:type="spellStart"/>
            <w:r>
              <w:rPr>
                <w:rFonts w:ascii="Times New Roman" w:hAnsi="Times New Roman"/>
                <w:sz w:val="18"/>
                <w:szCs w:val="18"/>
                <w:lang w:eastAsia="tr-TR"/>
              </w:rPr>
              <w:t>ncı</w:t>
            </w:r>
            <w:proofErr w:type="spellEnd"/>
            <w:r>
              <w:rPr>
                <w:rFonts w:ascii="Times New Roman" w:hAnsi="Times New Roman"/>
                <w:sz w:val="18"/>
                <w:szCs w:val="18"/>
                <w:lang w:eastAsia="tr-TR"/>
              </w:rPr>
              <w:t xml:space="preserve"> maddesinin ikinci fıkrası aşağıdaki şekilde değiştirilmiştir.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 xml:space="preserve">“(2) İthal ve yerli makine ve teçhizat listelerinde her bir makine ve teçhizat için belirtilen miktarın aşılmaması kaydıyla, listede belirtilen tutarın üzerinde veya altında kalan alımlarda liste tadilatı yapılmaksızın doğrudan işlem yapılabilir.” </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7 –</w:t>
            </w:r>
            <w:r>
              <w:rPr>
                <w:rFonts w:ascii="Times New Roman" w:hAnsi="Times New Roman"/>
                <w:sz w:val="18"/>
                <w:szCs w:val="18"/>
                <w:lang w:eastAsia="tr-TR"/>
              </w:rPr>
              <w:t xml:space="preserve"> Aynı Tebliğin 17 </w:t>
            </w:r>
            <w:proofErr w:type="spellStart"/>
            <w:r>
              <w:rPr>
                <w:rFonts w:ascii="Times New Roman" w:hAnsi="Times New Roman"/>
                <w:sz w:val="18"/>
                <w:szCs w:val="18"/>
                <w:lang w:eastAsia="tr-TR"/>
              </w:rPr>
              <w:t>nci</w:t>
            </w:r>
            <w:proofErr w:type="spellEnd"/>
            <w:r>
              <w:rPr>
                <w:rFonts w:ascii="Times New Roman" w:hAnsi="Times New Roman"/>
                <w:sz w:val="18"/>
                <w:szCs w:val="18"/>
                <w:lang w:eastAsia="tr-TR"/>
              </w:rPr>
              <w:t xml:space="preserve"> maddesinin ikinci fıkrası aşağıdaki şekilde değiştirilmiştir.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“(2) Teşvik belgesinde kayıtlı sabit yatırım tutarında veya belgede kayıtlı diğer bilgilerde değişiklik olması durumunda, yatırımcı tarafından revize gerekçesi veya ilgili bilgi ve belgeler ile birlikte teşvik belgesini düzenleyen mercie müracaat edilerek teşvik belgesinin revizesi talebinde bulunulur. İlgili merci tarafından yapılacak değerlendirme neticesinde gerekçesi uygun bulunan teşvik belgeleri revize edilebilir.”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8 –</w:t>
            </w:r>
            <w:r>
              <w:rPr>
                <w:rFonts w:ascii="Times New Roman" w:hAnsi="Times New Roman"/>
                <w:sz w:val="18"/>
                <w:szCs w:val="18"/>
                <w:lang w:eastAsia="tr-TR"/>
              </w:rPr>
              <w:t xml:space="preserve"> Aynı Tebliğin 20 </w:t>
            </w:r>
            <w:proofErr w:type="spellStart"/>
            <w:r>
              <w:rPr>
                <w:rFonts w:ascii="Times New Roman" w:hAnsi="Times New Roman"/>
                <w:sz w:val="18"/>
                <w:szCs w:val="18"/>
                <w:lang w:eastAsia="tr-TR"/>
              </w:rPr>
              <w:t>nci</w:t>
            </w:r>
            <w:proofErr w:type="spellEnd"/>
            <w:r>
              <w:rPr>
                <w:rFonts w:ascii="Times New Roman" w:hAnsi="Times New Roman"/>
                <w:sz w:val="18"/>
                <w:szCs w:val="18"/>
                <w:lang w:eastAsia="tr-TR"/>
              </w:rPr>
              <w:t xml:space="preserve"> maddesinin altıncı, dokuzuncu ve on ikinci fıkraları aşağıdaki şekilde değiştirilmiştir.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“(6) Finansal kiralama işlemine konu makine ve teçhizatın başka bir yatırımcıya devrinin talep edilmesi halinde; finansal kiralama şirketi, devredecek yatırımcı ve devralacak yatırımcının birlikte müracaatı üzerine yeni sözleşmeye istinaden devir işlemi yapılabilir. Devir sonucu yatırımın bütünlüğünün bozulması halinde devredecek yatırımcının teşvik belgesi iptal edilir. Ayrıca, yeni yatırımcının teşvik belgesinde kayıtlı destek unsurlarının, ilk yatırımcının yararlandığı destek unsurlarından daha düşük olması veya destek unsurunun hiç bulunmaması durumunda fazladan yararlanılan destekler ilgili mevzuat çerçevesinde geri alınır.”</w:t>
            </w:r>
          </w:p>
          <w:p w:rsidR="008B4A0B" w:rsidRDefault="008B4A0B">
            <w:pPr>
              <w:spacing w:line="240" w:lineRule="exact"/>
              <w:ind w:firstLine="566"/>
              <w:jc w:val="both"/>
              <w:rPr>
                <w:rFonts w:ascii="Times New Roman" w:hAnsi="Times New Roman"/>
                <w:sz w:val="18"/>
                <w:szCs w:val="18"/>
                <w:lang w:eastAsia="tr-TR"/>
              </w:rPr>
            </w:pPr>
            <w:proofErr w:type="gramStart"/>
            <w:r>
              <w:rPr>
                <w:rFonts w:ascii="Times New Roman" w:hAnsi="Times New Roman"/>
                <w:sz w:val="18"/>
                <w:szCs w:val="18"/>
                <w:lang w:eastAsia="tr-TR"/>
              </w:rPr>
              <w:t xml:space="preserve">“(9) 3226 sayılı Kanunun 23 üncü maddesinde belirtilen ihbar süresinin bitimini müteakip en geç üç ay içerisinde kiralayan veya kiracı tarafından ilgili mercie bildirimde bulunulması kaydıyla, sözleşmenin feshedilmesi ve finansal kiralamaya konu makine ve teçhizatın bildirimi takip eden bir yıl içerisinde (22 </w:t>
            </w:r>
            <w:proofErr w:type="spellStart"/>
            <w:r>
              <w:rPr>
                <w:rFonts w:ascii="Times New Roman" w:hAnsi="Times New Roman"/>
                <w:sz w:val="18"/>
                <w:szCs w:val="18"/>
                <w:lang w:eastAsia="tr-TR"/>
              </w:rPr>
              <w:t>nci</w:t>
            </w:r>
            <w:proofErr w:type="spellEnd"/>
            <w:r>
              <w:rPr>
                <w:rFonts w:ascii="Times New Roman" w:hAnsi="Times New Roman"/>
                <w:sz w:val="18"/>
                <w:szCs w:val="18"/>
                <w:lang w:eastAsia="tr-TR"/>
              </w:rPr>
              <w:t xml:space="preserve"> madde hükümleri hariç) devrinin talep edilmesi durumunda, finansal kiralama şirketi ile devralacak teşvik belgeli yatırımcının birlikte müracaatına istinaden yeni sözleşme çerçevesinde devir işlemi uygun görülebilir. </w:t>
            </w:r>
            <w:proofErr w:type="gramEnd"/>
            <w:r>
              <w:rPr>
                <w:rFonts w:ascii="Times New Roman" w:hAnsi="Times New Roman"/>
                <w:sz w:val="18"/>
                <w:szCs w:val="18"/>
                <w:lang w:eastAsia="tr-TR"/>
              </w:rPr>
              <w:t xml:space="preserve">Aksi takdirde, yararlanılan destekler finansal kiralama şirketinden geri alınır. Finansal Kiralama Şirketince teşvik belgesi kapsamında temin edilen makine ve teçhizatın ihracının talep edilmesi durumunda ihraç izni verilebilir.” </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sz w:val="18"/>
                <w:szCs w:val="18"/>
                <w:lang w:eastAsia="tr-TR"/>
              </w:rPr>
              <w:t>“(12) Teşvik belgesi kapsamında temin edilmiş olan taşınır ve taşınmaz malların tamamı veya bir kısmı, finansal kiralama şirketi tarafından bizzat kiracıdan satın alınarak da (sat ve geri kirala) finansal kiralama işlemine konu edilebilir. Ancak, tamamlama vizesi yapılmış olmakla birlikte satış için asgari süreleri doldurmayan veya tamamlama vizesi yapılmamış teşvik belgeleri kapsamındaki taşınır ve taşınmaz mallar için Genel Müdürlüğün izni gerekir.”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9 –</w:t>
            </w:r>
            <w:r>
              <w:rPr>
                <w:rFonts w:ascii="Times New Roman" w:hAnsi="Times New Roman"/>
                <w:sz w:val="18"/>
                <w:szCs w:val="18"/>
                <w:lang w:eastAsia="tr-TR"/>
              </w:rPr>
              <w:t xml:space="preserve"> Aynı Tebliğe aşağıdaki geçici madde eklenmiştir.</w:t>
            </w:r>
          </w:p>
          <w:p w:rsidR="008B4A0B" w:rsidRDefault="008B4A0B">
            <w:pPr>
              <w:spacing w:line="240" w:lineRule="exact"/>
              <w:ind w:firstLine="566"/>
              <w:jc w:val="both"/>
              <w:rPr>
                <w:rFonts w:ascii="Times New Roman" w:hAnsi="Times New Roman"/>
                <w:b/>
                <w:bCs/>
                <w:sz w:val="18"/>
                <w:szCs w:val="18"/>
                <w:lang w:eastAsia="tr-TR"/>
              </w:rPr>
            </w:pPr>
            <w:r>
              <w:rPr>
                <w:rFonts w:ascii="Times New Roman" w:hAnsi="Times New Roman"/>
                <w:b/>
                <w:bCs/>
                <w:sz w:val="18"/>
                <w:szCs w:val="18"/>
                <w:lang w:eastAsia="tr-TR"/>
              </w:rPr>
              <w:t>“Daha önceki kararlara ilişkin uygulama</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GEÇİCİ MADDE 3–</w:t>
            </w:r>
            <w:r>
              <w:rPr>
                <w:rFonts w:ascii="Times New Roman" w:hAnsi="Times New Roman"/>
                <w:sz w:val="18"/>
                <w:szCs w:val="18"/>
                <w:lang w:eastAsia="tr-TR"/>
              </w:rPr>
              <w:t xml:space="preserve">- (1) Bu Tebliğin “YATIRIM TAMAMLAMA VİZESİ İÇİN İSTENECEK BELGELER” başlıklı Ek-5’inde yer alan hususlar daha önceki Kararlara istinaden düzenlenen yatırım teşvik belgelerinin tamamlama vizesi işlemlerinde de uygulanır.” </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10 –</w:t>
            </w:r>
            <w:r>
              <w:rPr>
                <w:rFonts w:ascii="Times New Roman" w:hAnsi="Times New Roman"/>
                <w:sz w:val="18"/>
                <w:szCs w:val="18"/>
                <w:lang w:eastAsia="tr-TR"/>
              </w:rPr>
              <w:t xml:space="preserve"> Aynı Tebliğin EK-4’ünde yer alan tabloya aşağıdaki satır en son satır olarak eklenmiştir.</w:t>
            </w:r>
          </w:p>
          <w:p w:rsidR="008B4A0B" w:rsidRDefault="008B4A0B">
            <w:pPr>
              <w:spacing w:line="240" w:lineRule="exact"/>
              <w:jc w:val="both"/>
              <w:rPr>
                <w:rFonts w:ascii="Times New Roman" w:hAnsi="Times New Roman"/>
                <w:sz w:val="18"/>
                <w:szCs w:val="18"/>
                <w:lang w:eastAsia="tr-TR"/>
              </w:rPr>
            </w:pPr>
            <w:r>
              <w:rPr>
                <w:rFonts w:ascii="Times New Roman" w:hAnsi="Times New Roman"/>
                <w:sz w:val="18"/>
                <w:szCs w:val="18"/>
                <w:lang w:eastAsia="tr-TR"/>
              </w:rPr>
              <w:t>“</w:t>
            </w:r>
          </w:p>
          <w:tbl>
            <w:tblPr>
              <w:tblW w:w="8505" w:type="dxa"/>
              <w:jc w:val="center"/>
              <w:tblCellMar>
                <w:left w:w="0" w:type="dxa"/>
                <w:right w:w="0" w:type="dxa"/>
              </w:tblCellMar>
              <w:tblLook w:val="04A0" w:firstRow="1" w:lastRow="0" w:firstColumn="1" w:lastColumn="0" w:noHBand="0" w:noVBand="1"/>
            </w:tblPr>
            <w:tblGrid>
              <w:gridCol w:w="1593"/>
              <w:gridCol w:w="6912"/>
            </w:tblGrid>
            <w:tr w:rsidR="008B4A0B">
              <w:trPr>
                <w:jc w:val="center"/>
              </w:trPr>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4A0B" w:rsidRDefault="008B4A0B">
                  <w:pPr>
                    <w:spacing w:line="240" w:lineRule="exact"/>
                    <w:jc w:val="both"/>
                    <w:rPr>
                      <w:rFonts w:ascii="Times New Roman" w:hAnsi="Times New Roman"/>
                      <w:sz w:val="18"/>
                      <w:szCs w:val="18"/>
                      <w:lang w:eastAsia="tr-TR"/>
                    </w:rPr>
                  </w:pPr>
                </w:p>
              </w:tc>
              <w:tc>
                <w:tcPr>
                  <w:tcW w:w="6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both"/>
                    <w:rPr>
                      <w:rFonts w:ascii="Times New Roman" w:hAnsi="Times New Roman"/>
                      <w:sz w:val="18"/>
                      <w:szCs w:val="18"/>
                      <w:lang w:eastAsia="tr-TR"/>
                    </w:rPr>
                  </w:pPr>
                  <w:r>
                    <w:rPr>
                      <w:rFonts w:ascii="Times New Roman" w:hAnsi="Times New Roman"/>
                      <w:sz w:val="18"/>
                      <w:szCs w:val="18"/>
                      <w:lang w:eastAsia="tr-TR"/>
                    </w:rPr>
                    <w:t>Lisanssız Elektrik Üretimi Yatırımları</w:t>
                  </w:r>
                </w:p>
              </w:tc>
            </w:tr>
          </w:tbl>
          <w:p w:rsidR="008B4A0B" w:rsidRDefault="008B4A0B">
            <w:pPr>
              <w:spacing w:line="240" w:lineRule="exact"/>
              <w:jc w:val="right"/>
              <w:rPr>
                <w:rFonts w:ascii="Times New Roman" w:hAnsi="Times New Roman"/>
                <w:sz w:val="18"/>
                <w:szCs w:val="18"/>
                <w:lang w:eastAsia="tr-TR"/>
              </w:rPr>
            </w:pPr>
            <w:r>
              <w:rPr>
                <w:rFonts w:ascii="Times New Roman" w:hAnsi="Times New Roman"/>
                <w:sz w:val="18"/>
                <w:szCs w:val="18"/>
                <w:lang w:eastAsia="tr-TR"/>
              </w:rPr>
              <w:t>”</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11 –</w:t>
            </w:r>
            <w:r>
              <w:rPr>
                <w:rFonts w:ascii="Times New Roman" w:hAnsi="Times New Roman"/>
                <w:sz w:val="18"/>
                <w:szCs w:val="18"/>
                <w:lang w:eastAsia="tr-TR"/>
              </w:rPr>
              <w:t xml:space="preserve"> Bu Tebliğ yayımı tarihinde yürürlüğe girer.</w:t>
            </w:r>
          </w:p>
          <w:p w:rsidR="008B4A0B" w:rsidRDefault="008B4A0B">
            <w:pPr>
              <w:spacing w:line="240" w:lineRule="exact"/>
              <w:ind w:firstLine="566"/>
              <w:jc w:val="both"/>
              <w:rPr>
                <w:rFonts w:ascii="Times New Roman" w:hAnsi="Times New Roman"/>
                <w:sz w:val="18"/>
                <w:szCs w:val="18"/>
                <w:lang w:eastAsia="tr-TR"/>
              </w:rPr>
            </w:pPr>
            <w:r>
              <w:rPr>
                <w:rFonts w:ascii="Times New Roman" w:hAnsi="Times New Roman"/>
                <w:b/>
                <w:bCs/>
                <w:sz w:val="18"/>
                <w:szCs w:val="18"/>
                <w:lang w:eastAsia="tr-TR"/>
              </w:rPr>
              <w:t>MADDE 12 –</w:t>
            </w:r>
            <w:r>
              <w:rPr>
                <w:rFonts w:ascii="Times New Roman" w:hAnsi="Times New Roman"/>
                <w:sz w:val="18"/>
                <w:szCs w:val="18"/>
                <w:lang w:eastAsia="tr-TR"/>
              </w:rPr>
              <w:t xml:space="preserve"> Bu Tebliğ hükümlerini Ekonomi Bakanı yürütür. </w:t>
            </w:r>
          </w:p>
          <w:p w:rsidR="008B4A0B" w:rsidRDefault="008B4A0B">
            <w:pPr>
              <w:spacing w:line="240" w:lineRule="exact"/>
              <w:jc w:val="center"/>
              <w:rPr>
                <w:rFonts w:ascii="Times New Roman" w:hAnsi="Times New Roman"/>
                <w:sz w:val="18"/>
                <w:szCs w:val="18"/>
                <w:lang w:eastAsia="tr-TR"/>
              </w:rPr>
            </w:pP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8B4A0B">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Tebliğin Yayımlandığı Resmî Gazete'nin</w:t>
                  </w:r>
                </w:p>
              </w:tc>
            </w:tr>
            <w:tr w:rsidR="008B4A0B">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Sayısı</w:t>
                  </w:r>
                </w:p>
              </w:tc>
            </w:tr>
            <w:tr w:rsidR="008B4A0B">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proofErr w:type="gramStart"/>
                  <w:r>
                    <w:rPr>
                      <w:rFonts w:ascii="Times New Roman" w:hAnsi="Times New Roman"/>
                      <w:sz w:val="18"/>
                      <w:szCs w:val="18"/>
                      <w:lang w:eastAsia="tr-TR"/>
                    </w:rPr>
                    <w:t>20/6/2012</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28329</w:t>
                  </w:r>
                </w:p>
              </w:tc>
            </w:tr>
            <w:tr w:rsidR="008B4A0B">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Tebliğde Değişiklik Yapan Tebliğlerin Yayımlandığı Resmî Gazete'nin</w:t>
                  </w:r>
                </w:p>
              </w:tc>
            </w:tr>
            <w:tr w:rsidR="008B4A0B">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b/>
                      <w:bCs/>
                      <w:sz w:val="18"/>
                      <w:szCs w:val="18"/>
                      <w:lang w:eastAsia="tr-TR"/>
                    </w:rPr>
                  </w:pPr>
                  <w:r>
                    <w:rPr>
                      <w:rFonts w:ascii="Times New Roman" w:hAnsi="Times New Roman"/>
                      <w:b/>
                      <w:bCs/>
                      <w:sz w:val="18"/>
                      <w:szCs w:val="18"/>
                      <w:lang w:eastAsia="tr-TR"/>
                    </w:rPr>
                    <w:t>Sayısı</w:t>
                  </w:r>
                </w:p>
              </w:tc>
            </w:tr>
            <w:tr w:rsidR="008B4A0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ind w:right="469"/>
                    <w:jc w:val="center"/>
                    <w:rPr>
                      <w:rFonts w:ascii="Times New Roman" w:hAnsi="Times New Roman"/>
                      <w:sz w:val="18"/>
                      <w:szCs w:val="18"/>
                      <w:lang w:eastAsia="tr-TR"/>
                    </w:rPr>
                  </w:pPr>
                  <w:proofErr w:type="gramStart"/>
                  <w:r>
                    <w:rPr>
                      <w:rFonts w:ascii="Times New Roman" w:hAnsi="Times New Roman"/>
                      <w:sz w:val="18"/>
                      <w:szCs w:val="18"/>
                      <w:lang w:eastAsia="tr-TR"/>
                    </w:rPr>
                    <w:t>10/4/2014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28968</w:t>
                  </w:r>
                </w:p>
              </w:tc>
            </w:tr>
            <w:tr w:rsidR="008B4A0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ind w:right="469"/>
                    <w:jc w:val="center"/>
                    <w:rPr>
                      <w:rFonts w:ascii="Times New Roman" w:hAnsi="Times New Roman"/>
                      <w:sz w:val="18"/>
                      <w:szCs w:val="18"/>
                      <w:lang w:eastAsia="tr-TR"/>
                    </w:rPr>
                  </w:pPr>
                  <w:proofErr w:type="gramStart"/>
                  <w:r>
                    <w:rPr>
                      <w:rFonts w:ascii="Times New Roman" w:hAnsi="Times New Roman"/>
                      <w:sz w:val="18"/>
                      <w:szCs w:val="18"/>
                      <w:lang w:eastAsia="tr-TR"/>
                    </w:rPr>
                    <w:t>8/5/2014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28994</w:t>
                  </w:r>
                </w:p>
              </w:tc>
            </w:tr>
            <w:tr w:rsidR="008B4A0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ind w:right="469"/>
                    <w:jc w:val="center"/>
                    <w:rPr>
                      <w:rFonts w:ascii="Times New Roman" w:hAnsi="Times New Roman"/>
                      <w:sz w:val="18"/>
                      <w:szCs w:val="18"/>
                      <w:lang w:eastAsia="tr-TR"/>
                    </w:rPr>
                  </w:pPr>
                  <w:proofErr w:type="gramStart"/>
                  <w:r>
                    <w:rPr>
                      <w:rFonts w:ascii="Times New Roman" w:hAnsi="Times New Roman"/>
                      <w:sz w:val="18"/>
                      <w:szCs w:val="18"/>
                      <w:lang w:eastAsia="tr-TR"/>
                    </w:rPr>
                    <w:t>25/9/2014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29130</w:t>
                  </w:r>
                </w:p>
              </w:tc>
            </w:tr>
            <w:tr w:rsidR="008B4A0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ind w:right="469"/>
                    <w:jc w:val="center"/>
                    <w:rPr>
                      <w:rFonts w:ascii="Times New Roman" w:hAnsi="Times New Roman"/>
                      <w:sz w:val="18"/>
                      <w:szCs w:val="18"/>
                      <w:lang w:eastAsia="tr-TR"/>
                    </w:rPr>
                  </w:pPr>
                  <w:proofErr w:type="gramStart"/>
                  <w:r>
                    <w:rPr>
                      <w:rFonts w:ascii="Times New Roman" w:hAnsi="Times New Roman"/>
                      <w:sz w:val="18"/>
                      <w:szCs w:val="18"/>
                      <w:lang w:eastAsia="tr-TR"/>
                    </w:rPr>
                    <w:t>28/4/2016</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29697</w:t>
                  </w:r>
                </w:p>
              </w:tc>
            </w:tr>
            <w:tr w:rsidR="008B4A0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ind w:right="469"/>
                    <w:jc w:val="center"/>
                    <w:rPr>
                      <w:rFonts w:ascii="Times New Roman" w:hAnsi="Times New Roman"/>
                      <w:sz w:val="18"/>
                      <w:szCs w:val="18"/>
                      <w:lang w:eastAsia="tr-TR"/>
                    </w:rPr>
                  </w:pPr>
                  <w:proofErr w:type="gramStart"/>
                  <w:r>
                    <w:rPr>
                      <w:rFonts w:ascii="Times New Roman" w:hAnsi="Times New Roman"/>
                      <w:sz w:val="18"/>
                      <w:szCs w:val="18"/>
                      <w:lang w:eastAsia="tr-TR"/>
                    </w:rPr>
                    <w:t>25/6/2016</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29753</w:t>
                  </w:r>
                </w:p>
              </w:tc>
            </w:tr>
            <w:tr w:rsidR="008B4A0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lastRenderedPageBreak/>
                    <w:t>6-</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ind w:right="469"/>
                    <w:jc w:val="center"/>
                    <w:rPr>
                      <w:rFonts w:ascii="Times New Roman" w:hAnsi="Times New Roman"/>
                      <w:sz w:val="18"/>
                      <w:szCs w:val="18"/>
                      <w:lang w:eastAsia="tr-TR"/>
                    </w:rPr>
                  </w:pPr>
                  <w:proofErr w:type="gramStart"/>
                  <w:r>
                    <w:rPr>
                      <w:rFonts w:ascii="Times New Roman" w:hAnsi="Times New Roman"/>
                      <w:sz w:val="18"/>
                      <w:szCs w:val="18"/>
                      <w:lang w:eastAsia="tr-TR"/>
                    </w:rPr>
                    <w:t>27/8/2016</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8B4A0B" w:rsidRDefault="008B4A0B">
                  <w:pPr>
                    <w:spacing w:line="240" w:lineRule="exact"/>
                    <w:jc w:val="center"/>
                    <w:rPr>
                      <w:rFonts w:ascii="Times New Roman" w:hAnsi="Times New Roman"/>
                      <w:sz w:val="18"/>
                      <w:szCs w:val="18"/>
                      <w:lang w:eastAsia="tr-TR"/>
                    </w:rPr>
                  </w:pPr>
                  <w:r>
                    <w:rPr>
                      <w:rFonts w:ascii="Times New Roman" w:hAnsi="Times New Roman"/>
                      <w:sz w:val="18"/>
                      <w:szCs w:val="18"/>
                      <w:lang w:eastAsia="tr-TR"/>
                    </w:rPr>
                    <w:t>29814</w:t>
                  </w:r>
                </w:p>
              </w:tc>
            </w:tr>
          </w:tbl>
          <w:p w:rsidR="008B4A0B" w:rsidRDefault="008B4A0B">
            <w:pPr>
              <w:spacing w:line="240" w:lineRule="exact"/>
              <w:jc w:val="center"/>
              <w:rPr>
                <w:rFonts w:ascii="Times New Roman" w:hAnsi="Times New Roman"/>
                <w:sz w:val="18"/>
                <w:szCs w:val="18"/>
                <w:lang w:eastAsia="tr-TR"/>
              </w:rPr>
            </w:pPr>
          </w:p>
          <w:p w:rsidR="008B4A0B" w:rsidRDefault="008B4A0B">
            <w:pPr>
              <w:spacing w:before="100" w:beforeAutospacing="1" w:after="100" w:afterAutospacing="1"/>
              <w:jc w:val="center"/>
              <w:rPr>
                <w:rFonts w:ascii="Arial" w:hAnsi="Arial" w:cs="Arial"/>
                <w:b/>
                <w:bCs/>
                <w:color w:val="000080"/>
                <w:sz w:val="18"/>
                <w:szCs w:val="18"/>
                <w:lang w:eastAsia="tr-TR"/>
              </w:rPr>
            </w:pPr>
          </w:p>
        </w:tc>
      </w:tr>
    </w:tbl>
    <w:p w:rsidR="000513DA" w:rsidRDefault="000513DA">
      <w:bookmarkStart w:id="0" w:name="_GoBack"/>
      <w:bookmarkEnd w:id="0"/>
    </w:p>
    <w:sectPr w:rsidR="0005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F6"/>
    <w:rsid w:val="0002577D"/>
    <w:rsid w:val="000513DA"/>
    <w:rsid w:val="00210DF6"/>
    <w:rsid w:val="002A34B6"/>
    <w:rsid w:val="00301924"/>
    <w:rsid w:val="003F0ECD"/>
    <w:rsid w:val="00475444"/>
    <w:rsid w:val="005956F3"/>
    <w:rsid w:val="00677121"/>
    <w:rsid w:val="006E431E"/>
    <w:rsid w:val="006F71C4"/>
    <w:rsid w:val="007179DE"/>
    <w:rsid w:val="007E667B"/>
    <w:rsid w:val="00826CAC"/>
    <w:rsid w:val="008B4A0B"/>
    <w:rsid w:val="008D4DA8"/>
    <w:rsid w:val="0092511C"/>
    <w:rsid w:val="00A6639F"/>
    <w:rsid w:val="00B00A49"/>
    <w:rsid w:val="00B049F3"/>
    <w:rsid w:val="00B2252E"/>
    <w:rsid w:val="00B9766D"/>
    <w:rsid w:val="00C7737A"/>
    <w:rsid w:val="00DF7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0B"/>
    <w:rPr>
      <w:rFonts w:ascii="Calibri" w:eastAsiaTheme="minorHAns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0B"/>
    <w:rPr>
      <w:rFonts w:ascii="Calibri" w:eastAsiaTheme="minorHAns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2</cp:revision>
  <dcterms:created xsi:type="dcterms:W3CDTF">2017-07-28T14:32:00Z</dcterms:created>
  <dcterms:modified xsi:type="dcterms:W3CDTF">2017-07-28T14:32:00Z</dcterms:modified>
</cp:coreProperties>
</file>