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EE3F40" w:rsidTr="00EE3F4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E3F40">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E3F40" w:rsidRDefault="00EE3F40">
                  <w:pPr>
                    <w:spacing w:line="240" w:lineRule="exact"/>
                    <w:rPr>
                      <w:rFonts w:ascii="Arial" w:hAnsi="Arial" w:cs="Arial"/>
                      <w:sz w:val="16"/>
                      <w:szCs w:val="16"/>
                    </w:rPr>
                  </w:pPr>
                  <w:r>
                    <w:rPr>
                      <w:rFonts w:ascii="Arial" w:hAnsi="Arial" w:cs="Arial"/>
                      <w:sz w:val="16"/>
                      <w:szCs w:val="16"/>
                    </w:rPr>
                    <w:t>26 Temmuz 2017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E3F40" w:rsidRDefault="00EE3F40">
                  <w:pPr>
                    <w:spacing w:line="240" w:lineRule="exact"/>
                    <w:jc w:val="center"/>
                    <w:rPr>
                      <w:rFonts w:ascii="Palatino Linotype" w:hAnsi="Palatino Linotype"/>
                      <w:b/>
                      <w:bCs/>
                      <w:color w:val="800080"/>
                      <w:sz w:val="24"/>
                      <w:szCs w:val="24"/>
                    </w:rPr>
                  </w:pPr>
                  <w:r>
                    <w:rPr>
                      <w:rFonts w:ascii="Palatino Linotype" w:hAnsi="Palatino Linotype"/>
                      <w:b/>
                      <w:bCs/>
                      <w:color w:val="80008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E3F40" w:rsidRDefault="00EE3F40">
                  <w:pPr>
                    <w:pStyle w:val="NormalWeb"/>
                    <w:jc w:val="right"/>
                    <w:rPr>
                      <w:rFonts w:ascii="Arial" w:hAnsi="Arial" w:cs="Arial"/>
                      <w:sz w:val="16"/>
                      <w:szCs w:val="16"/>
                    </w:rPr>
                  </w:pPr>
                  <w:proofErr w:type="gramStart"/>
                  <w:r>
                    <w:rPr>
                      <w:rFonts w:ascii="Arial" w:hAnsi="Arial" w:cs="Arial"/>
                      <w:sz w:val="16"/>
                      <w:szCs w:val="16"/>
                    </w:rPr>
                    <w:t>Sayı : 30135</w:t>
                  </w:r>
                  <w:proofErr w:type="gramEnd"/>
                </w:p>
              </w:tc>
            </w:tr>
            <w:tr w:rsidR="00EE3F40">
              <w:trPr>
                <w:trHeight w:val="480"/>
                <w:jc w:val="center"/>
              </w:trPr>
              <w:tc>
                <w:tcPr>
                  <w:tcW w:w="8789" w:type="dxa"/>
                  <w:gridSpan w:val="3"/>
                  <w:tcMar>
                    <w:top w:w="0" w:type="dxa"/>
                    <w:left w:w="108" w:type="dxa"/>
                    <w:bottom w:w="0" w:type="dxa"/>
                    <w:right w:w="108" w:type="dxa"/>
                  </w:tcMar>
                  <w:vAlign w:val="center"/>
                  <w:hideMark/>
                </w:tcPr>
                <w:p w:rsidR="00EE3F40" w:rsidRDefault="00EE3F40">
                  <w:pPr>
                    <w:pStyle w:val="NormalWeb"/>
                    <w:jc w:val="center"/>
                    <w:rPr>
                      <w:rFonts w:ascii="Arial" w:hAnsi="Arial" w:cs="Arial"/>
                      <w:b/>
                      <w:bCs/>
                      <w:color w:val="000080"/>
                      <w:sz w:val="18"/>
                      <w:szCs w:val="18"/>
                    </w:rPr>
                  </w:pPr>
                  <w:r>
                    <w:rPr>
                      <w:rFonts w:ascii="Arial" w:hAnsi="Arial" w:cs="Arial"/>
                      <w:b/>
                      <w:bCs/>
                      <w:color w:val="000080"/>
                      <w:sz w:val="18"/>
                      <w:szCs w:val="18"/>
                    </w:rPr>
                    <w:t>TEBLİĞ</w:t>
                  </w:r>
                </w:p>
              </w:tc>
            </w:tr>
            <w:tr w:rsidR="00EE3F40">
              <w:trPr>
                <w:trHeight w:val="480"/>
                <w:jc w:val="center"/>
              </w:trPr>
              <w:tc>
                <w:tcPr>
                  <w:tcW w:w="8789" w:type="dxa"/>
                  <w:gridSpan w:val="3"/>
                  <w:tcMar>
                    <w:top w:w="0" w:type="dxa"/>
                    <w:left w:w="108" w:type="dxa"/>
                    <w:bottom w:w="0" w:type="dxa"/>
                    <w:right w:w="108" w:type="dxa"/>
                  </w:tcMar>
                  <w:vAlign w:val="center"/>
                </w:tcPr>
                <w:p w:rsidR="00EE3F40" w:rsidRDefault="00EE3F40">
                  <w:pPr>
                    <w:pStyle w:val="Balk11pt"/>
                    <w:spacing w:line="240" w:lineRule="exact"/>
                    <w:rPr>
                      <w:sz w:val="18"/>
                      <w:szCs w:val="18"/>
                    </w:rPr>
                  </w:pPr>
                  <w:r>
                    <w:rPr>
                      <w:sz w:val="18"/>
                      <w:szCs w:val="18"/>
                    </w:rPr>
                    <w:t>Ekonomi Bakanlığından:</w:t>
                  </w:r>
                </w:p>
                <w:p w:rsidR="00EE3F40" w:rsidRDefault="00EE3F40">
                  <w:pPr>
                    <w:pStyle w:val="OrtaBalkBold"/>
                    <w:spacing w:line="240" w:lineRule="exact"/>
                    <w:rPr>
                      <w:sz w:val="18"/>
                      <w:szCs w:val="18"/>
                    </w:rPr>
                  </w:pPr>
                  <w:bookmarkStart w:id="0" w:name="_GoBack"/>
                  <w:r>
                    <w:rPr>
                      <w:sz w:val="18"/>
                      <w:szCs w:val="18"/>
                    </w:rPr>
                    <w:t>İTHALATTA KOTA VE TARİFE KONTENJANI İDARESİNE İLİŞKİN TEBLİĞ</w:t>
                  </w:r>
                </w:p>
                <w:p w:rsidR="00EE3F40" w:rsidRDefault="00EE3F40">
                  <w:pPr>
                    <w:pStyle w:val="OrtaBalkBold"/>
                    <w:spacing w:line="240" w:lineRule="exact"/>
                    <w:rPr>
                      <w:sz w:val="18"/>
                      <w:szCs w:val="18"/>
                    </w:rPr>
                  </w:pPr>
                  <w:r>
                    <w:rPr>
                      <w:sz w:val="18"/>
                      <w:szCs w:val="18"/>
                    </w:rPr>
                    <w:t xml:space="preserve">(TEBLİĞ NO: 2017/2) </w:t>
                  </w:r>
                </w:p>
                <w:bookmarkEnd w:id="0"/>
                <w:p w:rsidR="00EE3F40" w:rsidRDefault="00EE3F40">
                  <w:pPr>
                    <w:pStyle w:val="Metin"/>
                    <w:spacing w:line="240" w:lineRule="exact"/>
                    <w:rPr>
                      <w:b/>
                      <w:bCs/>
                      <w:sz w:val="18"/>
                      <w:szCs w:val="18"/>
                    </w:rPr>
                  </w:pPr>
                  <w:r>
                    <w:rPr>
                      <w:b/>
                      <w:bCs/>
                      <w:sz w:val="18"/>
                      <w:szCs w:val="18"/>
                    </w:rPr>
                    <w:t>Kapsam</w:t>
                  </w:r>
                </w:p>
                <w:p w:rsidR="00EE3F40" w:rsidRDefault="00EE3F40">
                  <w:pPr>
                    <w:pStyle w:val="Metin"/>
                    <w:spacing w:line="240" w:lineRule="exact"/>
                    <w:rPr>
                      <w:sz w:val="18"/>
                      <w:szCs w:val="18"/>
                    </w:rPr>
                  </w:pPr>
                  <w:r>
                    <w:rPr>
                      <w:b/>
                      <w:bCs/>
                      <w:sz w:val="18"/>
                      <w:szCs w:val="18"/>
                    </w:rPr>
                    <w:t>MADDE 1 –</w:t>
                  </w:r>
                  <w:r>
                    <w:rPr>
                      <w:sz w:val="18"/>
                      <w:szCs w:val="18"/>
                    </w:rPr>
                    <w:t xml:space="preserve"> (1) Bu Tebliğ, </w:t>
                  </w:r>
                  <w:proofErr w:type="gramStart"/>
                  <w:r>
                    <w:rPr>
                      <w:sz w:val="18"/>
                      <w:szCs w:val="18"/>
                    </w:rPr>
                    <w:t>1/7/2017</w:t>
                  </w:r>
                  <w:proofErr w:type="gramEnd"/>
                  <w:r>
                    <w:rPr>
                      <w:sz w:val="18"/>
                      <w:szCs w:val="18"/>
                    </w:rPr>
                    <w:t xml:space="preserve"> tarihli ve 30111 sayılı Resmî </w:t>
                  </w:r>
                  <w:proofErr w:type="spellStart"/>
                  <w:r>
                    <w:rPr>
                      <w:sz w:val="18"/>
                      <w:szCs w:val="18"/>
                    </w:rPr>
                    <w:t>Gazete’de</w:t>
                  </w:r>
                  <w:proofErr w:type="spellEnd"/>
                  <w:r>
                    <w:rPr>
                      <w:sz w:val="18"/>
                      <w:szCs w:val="18"/>
                    </w:rPr>
                    <w:t xml:space="preserve"> yayımlanan İthalatta Korunma Önlemlerine İlişkin Tebliğ (Tebliğ No: 2017/7) çerçevesinde 7009.91 gümrük tarife pozisyonunda yer alan “çerçevesiz cam </w:t>
                  </w:r>
                  <w:proofErr w:type="spellStart"/>
                  <w:r>
                    <w:rPr>
                      <w:sz w:val="18"/>
                      <w:szCs w:val="18"/>
                    </w:rPr>
                    <w:t>aynalar”ın</w:t>
                  </w:r>
                  <w:proofErr w:type="spellEnd"/>
                  <w:r>
                    <w:rPr>
                      <w:sz w:val="18"/>
                      <w:szCs w:val="18"/>
                    </w:rPr>
                    <w:t xml:space="preserve"> İran İslam Cumhuriyeti (İran) menşeli olanlarının ithalatında uygulanacak miktar kısıtlamasına (kota) ilişkin başvuru ve dağıtım ile kullanım usul ve esaslarını içermektedir.</w:t>
                  </w:r>
                </w:p>
                <w:p w:rsidR="00EE3F40" w:rsidRDefault="00EE3F40">
                  <w:pPr>
                    <w:pStyle w:val="Metin"/>
                    <w:spacing w:line="240" w:lineRule="exact"/>
                    <w:rPr>
                      <w:b/>
                      <w:bCs/>
                      <w:sz w:val="18"/>
                      <w:szCs w:val="18"/>
                    </w:rPr>
                  </w:pPr>
                  <w:r>
                    <w:rPr>
                      <w:b/>
                      <w:bCs/>
                      <w:sz w:val="18"/>
                      <w:szCs w:val="18"/>
                    </w:rPr>
                    <w:t>Başvuru usul ve esasları</w:t>
                  </w:r>
                </w:p>
                <w:p w:rsidR="00EE3F40" w:rsidRDefault="00EE3F40">
                  <w:pPr>
                    <w:pStyle w:val="Metin"/>
                    <w:spacing w:line="240" w:lineRule="exact"/>
                    <w:rPr>
                      <w:sz w:val="18"/>
                      <w:szCs w:val="18"/>
                    </w:rPr>
                  </w:pPr>
                  <w:r>
                    <w:rPr>
                      <w:b/>
                      <w:bCs/>
                      <w:sz w:val="18"/>
                      <w:szCs w:val="18"/>
                    </w:rPr>
                    <w:t>MADDE 2 –</w:t>
                  </w:r>
                  <w:r>
                    <w:rPr>
                      <w:sz w:val="18"/>
                      <w:szCs w:val="18"/>
                    </w:rPr>
                    <w:t xml:space="preserve"> (1) Bu Tebliğin 3 üncü maddesinde belirtilen İran menşeli eşyaya yönelik kota başvurularının değerlendirmeye alınabilmesi için, EK-1’de yer alan İthal Lisansı Başvuru Formunun usulüne uygun bir şekilde doldurulması ve EK-2’de yer alan belgelerle birlikte tam ve eksiksiz bir şekilde Ekonomi Bakanlığına (Bakanlık) iletilmesi gerekmektedir. </w:t>
                  </w:r>
                </w:p>
                <w:p w:rsidR="00EE3F40" w:rsidRDefault="00EE3F40">
                  <w:pPr>
                    <w:pStyle w:val="Metin"/>
                    <w:spacing w:line="240" w:lineRule="exact"/>
                    <w:rPr>
                      <w:sz w:val="18"/>
                      <w:szCs w:val="18"/>
                    </w:rPr>
                  </w:pPr>
                  <w:r>
                    <w:rPr>
                      <w:sz w:val="18"/>
                      <w:szCs w:val="18"/>
                    </w:rPr>
                    <w:t xml:space="preserve">(2) Bu Tebliğ kapsamında yapılan beyanın doğruluğuyla ve ithal mallarla ilgili incelemeleri yapmaya veya yaptırmaya Bakanlık yetkilidir. Başvuruda sunulan bilgi ve belgelerde tutarsızlık olduğu durumlarda, Bakanlık ek bilgi ve belge isteyebilir ve söz konusu tutarsızlık başvuru sahibi tarafından giderilinceye kadar talep karşılanmaz. </w:t>
                  </w:r>
                </w:p>
                <w:p w:rsidR="00EE3F40" w:rsidRDefault="00EE3F40">
                  <w:pPr>
                    <w:pStyle w:val="Metin"/>
                    <w:spacing w:line="240" w:lineRule="exact"/>
                    <w:rPr>
                      <w:b/>
                      <w:bCs/>
                      <w:sz w:val="18"/>
                      <w:szCs w:val="18"/>
                    </w:rPr>
                  </w:pPr>
                  <w:r>
                    <w:rPr>
                      <w:b/>
                      <w:bCs/>
                      <w:sz w:val="18"/>
                      <w:szCs w:val="18"/>
                    </w:rPr>
                    <w:t>Kota miktarı</w:t>
                  </w:r>
                </w:p>
                <w:p w:rsidR="00EE3F40" w:rsidRDefault="00EE3F40">
                  <w:pPr>
                    <w:pStyle w:val="Metin"/>
                    <w:spacing w:line="240" w:lineRule="exact"/>
                    <w:rPr>
                      <w:sz w:val="18"/>
                      <w:szCs w:val="18"/>
                    </w:rPr>
                  </w:pPr>
                  <w:r>
                    <w:rPr>
                      <w:b/>
                      <w:bCs/>
                      <w:sz w:val="18"/>
                      <w:szCs w:val="18"/>
                    </w:rPr>
                    <w:t>MADDE 3 –</w:t>
                  </w:r>
                  <w:r>
                    <w:rPr>
                      <w:sz w:val="18"/>
                      <w:szCs w:val="18"/>
                    </w:rPr>
                    <w:t xml:space="preserve"> (1) Kota aşağıda belirtilen dönem ve miktarlar için uygulanır.</w:t>
                  </w:r>
                </w:p>
                <w:p w:rsidR="00EE3F40" w:rsidRDefault="00EE3F40">
                  <w:pPr>
                    <w:pStyle w:val="Metin"/>
                    <w:spacing w:line="240" w:lineRule="exact"/>
                    <w:rPr>
                      <w:sz w:val="18"/>
                      <w:szCs w:val="18"/>
                    </w:rPr>
                  </w:pPr>
                </w:p>
                <w:tbl>
                  <w:tblPr>
                    <w:tblW w:w="7326" w:type="dxa"/>
                    <w:jc w:val="center"/>
                    <w:tblInd w:w="779" w:type="dxa"/>
                    <w:tblCellMar>
                      <w:left w:w="0" w:type="dxa"/>
                      <w:right w:w="0" w:type="dxa"/>
                    </w:tblCellMar>
                    <w:tblLook w:val="04A0" w:firstRow="1" w:lastRow="0" w:firstColumn="1" w:lastColumn="0" w:noHBand="0" w:noVBand="1"/>
                  </w:tblPr>
                  <w:tblGrid>
                    <w:gridCol w:w="1108"/>
                    <w:gridCol w:w="2107"/>
                    <w:gridCol w:w="1370"/>
                    <w:gridCol w:w="1370"/>
                    <w:gridCol w:w="1371"/>
                  </w:tblGrid>
                  <w:tr w:rsidR="00EE3F40">
                    <w:trPr>
                      <w:trHeight w:val="233"/>
                      <w:jc w:val="center"/>
                    </w:trPr>
                    <w:tc>
                      <w:tcPr>
                        <w:tcW w:w="110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color w:val="000000"/>
                            <w:sz w:val="18"/>
                            <w:szCs w:val="18"/>
                          </w:rPr>
                        </w:pPr>
                        <w:proofErr w:type="spellStart"/>
                        <w:r>
                          <w:rPr>
                            <w:b/>
                            <w:bCs/>
                            <w:color w:val="000000"/>
                            <w:sz w:val="18"/>
                            <w:szCs w:val="18"/>
                          </w:rPr>
                          <w:t>GTP</w:t>
                        </w:r>
                        <w:proofErr w:type="spellEnd"/>
                      </w:p>
                    </w:tc>
                    <w:tc>
                      <w:tcPr>
                        <w:tcW w:w="2107"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E3F40" w:rsidRDefault="00EE3F40">
                        <w:pPr>
                          <w:jc w:val="center"/>
                          <w:rPr>
                            <w:b/>
                            <w:bCs/>
                            <w:color w:val="000000"/>
                            <w:sz w:val="18"/>
                            <w:szCs w:val="18"/>
                          </w:rPr>
                        </w:pPr>
                        <w:r>
                          <w:rPr>
                            <w:b/>
                            <w:bCs/>
                            <w:color w:val="000000"/>
                            <w:sz w:val="18"/>
                            <w:szCs w:val="18"/>
                          </w:rPr>
                          <w:t>Tanımı</w:t>
                        </w:r>
                      </w:p>
                    </w:tc>
                    <w:tc>
                      <w:tcPr>
                        <w:tcW w:w="4111"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color w:val="000000"/>
                            <w:sz w:val="18"/>
                            <w:szCs w:val="18"/>
                          </w:rPr>
                        </w:pPr>
                        <w:r>
                          <w:rPr>
                            <w:b/>
                            <w:bCs/>
                            <w:color w:val="000000"/>
                            <w:sz w:val="18"/>
                            <w:szCs w:val="18"/>
                          </w:rPr>
                          <w:t>Kota Miktarı (Ton)</w:t>
                        </w:r>
                      </w:p>
                    </w:tc>
                  </w:tr>
                  <w:tr w:rsidR="00EE3F40">
                    <w:trPr>
                      <w:trHeight w:val="23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3F40" w:rsidRDefault="00EE3F40">
                        <w:pPr>
                          <w:rPr>
                            <w:b/>
                            <w:bCs/>
                            <w:color w:val="000000"/>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EE3F40" w:rsidRDefault="00EE3F40">
                        <w:pPr>
                          <w:rPr>
                            <w:b/>
                            <w:bCs/>
                            <w:color w:val="000000"/>
                            <w:sz w:val="18"/>
                            <w:szCs w:val="18"/>
                          </w:rPr>
                        </w:pPr>
                      </w:p>
                    </w:tc>
                    <w:tc>
                      <w:tcPr>
                        <w:tcW w:w="13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color w:val="000000"/>
                            <w:sz w:val="18"/>
                            <w:szCs w:val="18"/>
                          </w:rPr>
                        </w:pPr>
                        <w:r>
                          <w:rPr>
                            <w:b/>
                            <w:bCs/>
                            <w:color w:val="000000"/>
                            <w:sz w:val="18"/>
                            <w:szCs w:val="18"/>
                          </w:rPr>
                          <w:t>1.Dönem</w:t>
                        </w:r>
                      </w:p>
                    </w:tc>
                    <w:tc>
                      <w:tcPr>
                        <w:tcW w:w="13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color w:val="000000"/>
                            <w:sz w:val="18"/>
                            <w:szCs w:val="18"/>
                          </w:rPr>
                        </w:pPr>
                        <w:r>
                          <w:rPr>
                            <w:b/>
                            <w:bCs/>
                            <w:color w:val="000000"/>
                            <w:sz w:val="18"/>
                            <w:szCs w:val="18"/>
                          </w:rPr>
                          <w:t>2.Dönem</w:t>
                        </w:r>
                      </w:p>
                    </w:tc>
                    <w:tc>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color w:val="000000"/>
                            <w:sz w:val="18"/>
                            <w:szCs w:val="18"/>
                          </w:rPr>
                        </w:pPr>
                        <w:r>
                          <w:rPr>
                            <w:b/>
                            <w:bCs/>
                            <w:color w:val="000000"/>
                            <w:sz w:val="18"/>
                            <w:szCs w:val="18"/>
                          </w:rPr>
                          <w:t>3.Dönem</w:t>
                        </w:r>
                      </w:p>
                    </w:tc>
                  </w:tr>
                  <w:tr w:rsidR="00EE3F40">
                    <w:trPr>
                      <w:trHeight w:val="23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3F40" w:rsidRDefault="00EE3F40">
                        <w:pPr>
                          <w:rPr>
                            <w:b/>
                            <w:bCs/>
                            <w:color w:val="000000"/>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EE3F40" w:rsidRDefault="00EE3F40">
                        <w:pPr>
                          <w:rPr>
                            <w:b/>
                            <w:bCs/>
                            <w:color w:val="000000"/>
                            <w:sz w:val="18"/>
                            <w:szCs w:val="18"/>
                          </w:rPr>
                        </w:pPr>
                      </w:p>
                    </w:tc>
                    <w:tc>
                      <w:tcPr>
                        <w:tcW w:w="13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color w:val="000000"/>
                            <w:sz w:val="18"/>
                            <w:szCs w:val="18"/>
                          </w:rPr>
                        </w:pPr>
                        <w:proofErr w:type="gramStart"/>
                        <w:r>
                          <w:rPr>
                            <w:b/>
                            <w:bCs/>
                            <w:color w:val="000000"/>
                            <w:sz w:val="18"/>
                            <w:szCs w:val="18"/>
                          </w:rPr>
                          <w:t>3/7/2017</w:t>
                        </w:r>
                        <w:proofErr w:type="gramEnd"/>
                        <w:r>
                          <w:rPr>
                            <w:b/>
                            <w:bCs/>
                            <w:color w:val="000000"/>
                            <w:sz w:val="18"/>
                            <w:szCs w:val="18"/>
                          </w:rPr>
                          <w:t>-</w:t>
                        </w:r>
                      </w:p>
                      <w:p w:rsidR="00EE3F40" w:rsidRDefault="00EE3F40">
                        <w:pPr>
                          <w:jc w:val="center"/>
                          <w:rPr>
                            <w:b/>
                            <w:bCs/>
                            <w:color w:val="000000"/>
                            <w:sz w:val="18"/>
                            <w:szCs w:val="18"/>
                          </w:rPr>
                        </w:pPr>
                        <w:proofErr w:type="gramStart"/>
                        <w:r>
                          <w:rPr>
                            <w:b/>
                            <w:bCs/>
                            <w:color w:val="000000"/>
                            <w:sz w:val="18"/>
                            <w:szCs w:val="18"/>
                          </w:rPr>
                          <w:t>2/7/2018</w:t>
                        </w:r>
                        <w:proofErr w:type="gramEnd"/>
                      </w:p>
                    </w:tc>
                    <w:tc>
                      <w:tcPr>
                        <w:tcW w:w="13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sz w:val="18"/>
                            <w:szCs w:val="18"/>
                          </w:rPr>
                        </w:pPr>
                        <w:proofErr w:type="gramStart"/>
                        <w:r>
                          <w:rPr>
                            <w:b/>
                            <w:bCs/>
                            <w:color w:val="000000"/>
                            <w:sz w:val="18"/>
                            <w:szCs w:val="18"/>
                          </w:rPr>
                          <w:t>3/7/2018</w:t>
                        </w:r>
                        <w:proofErr w:type="gramEnd"/>
                        <w:r>
                          <w:rPr>
                            <w:b/>
                            <w:bCs/>
                            <w:color w:val="000000"/>
                            <w:sz w:val="18"/>
                            <w:szCs w:val="18"/>
                          </w:rPr>
                          <w:t>-2/7/2019</w:t>
                        </w:r>
                      </w:p>
                    </w:tc>
                    <w:tc>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E3F40" w:rsidRDefault="00EE3F40">
                        <w:pPr>
                          <w:jc w:val="center"/>
                          <w:rPr>
                            <w:b/>
                            <w:bCs/>
                            <w:sz w:val="18"/>
                            <w:szCs w:val="18"/>
                          </w:rPr>
                        </w:pPr>
                        <w:proofErr w:type="gramStart"/>
                        <w:r>
                          <w:rPr>
                            <w:b/>
                            <w:bCs/>
                            <w:color w:val="000000"/>
                            <w:sz w:val="18"/>
                            <w:szCs w:val="18"/>
                          </w:rPr>
                          <w:t>3/7/2019</w:t>
                        </w:r>
                        <w:proofErr w:type="gramEnd"/>
                        <w:r>
                          <w:rPr>
                            <w:b/>
                            <w:bCs/>
                            <w:color w:val="000000"/>
                            <w:sz w:val="18"/>
                            <w:szCs w:val="18"/>
                          </w:rPr>
                          <w:t>-2/7/2020</w:t>
                        </w:r>
                      </w:p>
                    </w:tc>
                  </w:tr>
                  <w:tr w:rsidR="00EE3F40">
                    <w:trPr>
                      <w:trHeight w:val="117"/>
                      <w:jc w:val="center"/>
                    </w:trPr>
                    <w:tc>
                      <w:tcPr>
                        <w:tcW w:w="11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E3F40" w:rsidRDefault="00EE3F40">
                        <w:pPr>
                          <w:spacing w:line="117" w:lineRule="atLeast"/>
                          <w:jc w:val="center"/>
                          <w:rPr>
                            <w:color w:val="000000"/>
                            <w:sz w:val="18"/>
                            <w:szCs w:val="18"/>
                          </w:rPr>
                        </w:pPr>
                        <w:r>
                          <w:rPr>
                            <w:color w:val="000000"/>
                            <w:sz w:val="18"/>
                            <w:szCs w:val="18"/>
                          </w:rPr>
                          <w:t>7009.91</w:t>
                        </w:r>
                      </w:p>
                    </w:tc>
                    <w:tc>
                      <w:tcPr>
                        <w:tcW w:w="2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E3F40" w:rsidRDefault="00EE3F40">
                        <w:pPr>
                          <w:spacing w:line="117" w:lineRule="atLeast"/>
                          <w:jc w:val="center"/>
                          <w:rPr>
                            <w:color w:val="000000"/>
                            <w:sz w:val="18"/>
                            <w:szCs w:val="18"/>
                          </w:rPr>
                        </w:pPr>
                        <w:r>
                          <w:rPr>
                            <w:sz w:val="18"/>
                            <w:szCs w:val="18"/>
                          </w:rPr>
                          <w:t>Çerçevesiz cam aynalar</w:t>
                        </w:r>
                      </w:p>
                    </w:tc>
                    <w:tc>
                      <w:tcPr>
                        <w:tcW w:w="13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E3F40" w:rsidRDefault="00EE3F40">
                        <w:pPr>
                          <w:spacing w:line="117" w:lineRule="atLeast"/>
                          <w:jc w:val="center"/>
                          <w:rPr>
                            <w:color w:val="000000"/>
                            <w:sz w:val="18"/>
                            <w:szCs w:val="18"/>
                          </w:rPr>
                        </w:pPr>
                        <w:r>
                          <w:rPr>
                            <w:color w:val="000000"/>
                            <w:sz w:val="18"/>
                            <w:szCs w:val="18"/>
                          </w:rPr>
                          <w:t>2.147</w:t>
                        </w:r>
                      </w:p>
                    </w:tc>
                    <w:tc>
                      <w:tcPr>
                        <w:tcW w:w="13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E3F40" w:rsidRDefault="00EE3F40">
                        <w:pPr>
                          <w:spacing w:line="117" w:lineRule="atLeast"/>
                          <w:jc w:val="center"/>
                          <w:rPr>
                            <w:color w:val="000000"/>
                            <w:sz w:val="18"/>
                            <w:szCs w:val="18"/>
                          </w:rPr>
                        </w:pPr>
                        <w:r>
                          <w:rPr>
                            <w:color w:val="000000"/>
                            <w:sz w:val="18"/>
                            <w:szCs w:val="18"/>
                          </w:rPr>
                          <w:t>2.211</w:t>
                        </w:r>
                      </w:p>
                    </w:tc>
                    <w:tc>
                      <w:tcPr>
                        <w:tcW w:w="13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E3F40" w:rsidRDefault="00EE3F40">
                        <w:pPr>
                          <w:spacing w:line="117" w:lineRule="atLeast"/>
                          <w:jc w:val="center"/>
                          <w:rPr>
                            <w:color w:val="000000"/>
                            <w:sz w:val="18"/>
                            <w:szCs w:val="18"/>
                          </w:rPr>
                        </w:pPr>
                        <w:r>
                          <w:rPr>
                            <w:color w:val="000000"/>
                            <w:sz w:val="18"/>
                            <w:szCs w:val="18"/>
                          </w:rPr>
                          <w:t>2.277</w:t>
                        </w:r>
                      </w:p>
                    </w:tc>
                  </w:tr>
                </w:tbl>
                <w:p w:rsidR="00EE3F40" w:rsidRDefault="00EE3F40">
                  <w:pPr>
                    <w:pStyle w:val="Metin"/>
                    <w:spacing w:line="240" w:lineRule="exact"/>
                    <w:ind w:firstLine="0"/>
                    <w:jc w:val="center"/>
                    <w:rPr>
                      <w:sz w:val="18"/>
                      <w:szCs w:val="18"/>
                    </w:rPr>
                  </w:pPr>
                </w:p>
                <w:p w:rsidR="00EE3F40" w:rsidRDefault="00EE3F40">
                  <w:pPr>
                    <w:pStyle w:val="Metin"/>
                    <w:spacing w:line="240" w:lineRule="exact"/>
                    <w:rPr>
                      <w:b/>
                      <w:bCs/>
                      <w:sz w:val="18"/>
                      <w:szCs w:val="18"/>
                    </w:rPr>
                  </w:pPr>
                  <w:r>
                    <w:rPr>
                      <w:b/>
                      <w:bCs/>
                      <w:sz w:val="18"/>
                      <w:szCs w:val="18"/>
                    </w:rPr>
                    <w:t xml:space="preserve">Kotanın dağıtılması </w:t>
                  </w:r>
                </w:p>
                <w:p w:rsidR="00EE3F40" w:rsidRDefault="00EE3F40">
                  <w:pPr>
                    <w:pStyle w:val="Metin"/>
                    <w:spacing w:line="240" w:lineRule="exact"/>
                    <w:rPr>
                      <w:sz w:val="18"/>
                      <w:szCs w:val="18"/>
                    </w:rPr>
                  </w:pPr>
                  <w:r>
                    <w:rPr>
                      <w:b/>
                      <w:bCs/>
                      <w:sz w:val="18"/>
                      <w:szCs w:val="18"/>
                    </w:rPr>
                    <w:t>MADDE 4 –</w:t>
                  </w:r>
                  <w:r>
                    <w:rPr>
                      <w:sz w:val="18"/>
                      <w:szCs w:val="18"/>
                    </w:rPr>
                    <w:t xml:space="preserve"> (1) Kota dağıtımı, başvuru sırasına göre, ilk gelen ilk alır yöntemiyle yapılır. Bir ithal lisansında verilebilecek miktar, 25.000 kilogramı aşamaz.</w:t>
                  </w:r>
                </w:p>
                <w:p w:rsidR="00EE3F40" w:rsidRDefault="00EE3F40">
                  <w:pPr>
                    <w:pStyle w:val="Metin"/>
                    <w:spacing w:line="240" w:lineRule="exact"/>
                    <w:rPr>
                      <w:b/>
                      <w:bCs/>
                      <w:sz w:val="18"/>
                      <w:szCs w:val="18"/>
                    </w:rPr>
                  </w:pPr>
                  <w:r>
                    <w:rPr>
                      <w:b/>
                      <w:bCs/>
                      <w:sz w:val="18"/>
                      <w:szCs w:val="18"/>
                    </w:rPr>
                    <w:t>İthal lisansına ve ithal lisansının kullanımına ait bilgiler</w:t>
                  </w:r>
                </w:p>
                <w:p w:rsidR="00EE3F40" w:rsidRDefault="00EE3F40">
                  <w:pPr>
                    <w:pStyle w:val="Metin"/>
                    <w:spacing w:line="240" w:lineRule="exact"/>
                    <w:rPr>
                      <w:sz w:val="18"/>
                      <w:szCs w:val="18"/>
                    </w:rPr>
                  </w:pPr>
                  <w:r>
                    <w:rPr>
                      <w:b/>
                      <w:bCs/>
                      <w:sz w:val="18"/>
                      <w:szCs w:val="18"/>
                    </w:rPr>
                    <w:t>MADDE 5 –</w:t>
                  </w:r>
                  <w:r>
                    <w:rPr>
                      <w:sz w:val="18"/>
                      <w:szCs w:val="18"/>
                    </w:rPr>
                    <w:t xml:space="preserve"> (1) Kota dağıtımı kapsamında yapılacak ithalatta Bakanlıkça düzenlenen İthal Lisansı gümrük beyannamesinin tescilinde ilgili gümrük idaresince aranır. </w:t>
                  </w:r>
                </w:p>
                <w:p w:rsidR="00EE3F40" w:rsidRDefault="00EE3F40">
                  <w:pPr>
                    <w:pStyle w:val="Metin"/>
                    <w:spacing w:line="240" w:lineRule="exact"/>
                    <w:rPr>
                      <w:sz w:val="18"/>
                      <w:szCs w:val="18"/>
                    </w:rPr>
                  </w:pPr>
                  <w:r>
                    <w:rPr>
                      <w:sz w:val="18"/>
                      <w:szCs w:val="18"/>
                    </w:rPr>
                    <w:t>(2) Bu Tebliğde belirtilen usul ve esaslar çerçevesinde kota tahsisatı yapılan başvuru sahibi adına İthal Lisansı Bakanlıkça elektronik olarak düzenlenir. Bu durumda Gümrük ve Ticaret Bakanlığının elektronik ortamda (Tek Pencere Sistemi) vereceği 23 haneli belge numarası ile belge tarihi başvuru formunda belirtilen başvuru sahibine ait e-posta adresine elektronik olarak iletilir ve söz konusu başvuru sahibine ayrıca yazılı bildirim yapılmaz. Başvuru formunda başvuru sahibine ait doğru ve geçerli bir e-posta adresinin bildirilmemesi halinde doğabilecek sorunlardan Bakanlık sorumlu tutulamaz.</w:t>
                  </w:r>
                </w:p>
                <w:p w:rsidR="00EE3F40" w:rsidRDefault="00EE3F40">
                  <w:pPr>
                    <w:pStyle w:val="Metin"/>
                    <w:spacing w:line="240" w:lineRule="exact"/>
                    <w:rPr>
                      <w:sz w:val="18"/>
                      <w:szCs w:val="18"/>
                    </w:rPr>
                  </w:pPr>
                  <w:r>
                    <w:rPr>
                      <w:sz w:val="18"/>
                      <w:szCs w:val="18"/>
                    </w:rPr>
                    <w:t>(3) Elektronik ortamda düzenlenen İthal Lisansları için Tek Pencere Sistemi tarafından verilecek 23 haneli belge numarası ile belge tarihi yükümlü tarafından beyannamenin 44 nolu kutusunda “Belge Referans No” ve “Belge Tarihi” alanlarında beyan edilir.</w:t>
                  </w:r>
                </w:p>
                <w:p w:rsidR="00EE3F40" w:rsidRDefault="00EE3F40">
                  <w:pPr>
                    <w:pStyle w:val="Metin"/>
                    <w:spacing w:line="240" w:lineRule="exact"/>
                    <w:rPr>
                      <w:sz w:val="18"/>
                      <w:szCs w:val="18"/>
                    </w:rPr>
                  </w:pPr>
                  <w:r>
                    <w:rPr>
                      <w:sz w:val="18"/>
                      <w:szCs w:val="18"/>
                    </w:rPr>
                    <w:t xml:space="preserve">(4) Gerekmesi halinde İthal Lisansları fiziksel olarak da düzenlenebilir. </w:t>
                  </w:r>
                </w:p>
                <w:p w:rsidR="00EE3F40" w:rsidRDefault="00EE3F40">
                  <w:pPr>
                    <w:pStyle w:val="Metin"/>
                    <w:spacing w:line="240" w:lineRule="exact"/>
                    <w:rPr>
                      <w:sz w:val="18"/>
                      <w:szCs w:val="18"/>
                    </w:rPr>
                  </w:pPr>
                  <w:r>
                    <w:rPr>
                      <w:sz w:val="18"/>
                      <w:szCs w:val="18"/>
                    </w:rPr>
                    <w:t xml:space="preserve">(5) Kota dağıtımına konu eşya ancak İthal Lisansının geçerlilik süresi içerisinde serbest dolaşıma girebilir. İthal Lisansının fiziksel olarak düzenlenmesi halinde, geçerlilik süresinin bitiminden sonra Bakanlığa iadesi zorunludur. </w:t>
                  </w:r>
                </w:p>
                <w:p w:rsidR="00EE3F40" w:rsidRDefault="00EE3F40">
                  <w:pPr>
                    <w:pStyle w:val="Metin"/>
                    <w:spacing w:line="240" w:lineRule="exact"/>
                    <w:rPr>
                      <w:sz w:val="18"/>
                      <w:szCs w:val="18"/>
                    </w:rPr>
                  </w:pPr>
                  <w:r>
                    <w:rPr>
                      <w:sz w:val="18"/>
                      <w:szCs w:val="18"/>
                    </w:rPr>
                    <w:t>(6) İthal Lisansı devredilemez.</w:t>
                  </w:r>
                </w:p>
                <w:p w:rsidR="00EE3F40" w:rsidRDefault="00EE3F40">
                  <w:pPr>
                    <w:pStyle w:val="Metin"/>
                    <w:spacing w:line="240" w:lineRule="exact"/>
                    <w:rPr>
                      <w:b/>
                      <w:bCs/>
                      <w:sz w:val="18"/>
                      <w:szCs w:val="18"/>
                    </w:rPr>
                  </w:pPr>
                  <w:r>
                    <w:rPr>
                      <w:b/>
                      <w:bCs/>
                      <w:sz w:val="18"/>
                      <w:szCs w:val="18"/>
                    </w:rPr>
                    <w:t>Yürürlük</w:t>
                  </w:r>
                </w:p>
                <w:p w:rsidR="00EE3F40" w:rsidRDefault="00EE3F40">
                  <w:pPr>
                    <w:pStyle w:val="Metin"/>
                    <w:spacing w:line="240" w:lineRule="exact"/>
                    <w:rPr>
                      <w:sz w:val="18"/>
                      <w:szCs w:val="18"/>
                    </w:rPr>
                  </w:pPr>
                  <w:r>
                    <w:rPr>
                      <w:b/>
                      <w:bCs/>
                      <w:sz w:val="18"/>
                      <w:szCs w:val="18"/>
                    </w:rPr>
                    <w:t>MADDE 6 –</w:t>
                  </w:r>
                  <w:r>
                    <w:rPr>
                      <w:sz w:val="18"/>
                      <w:szCs w:val="18"/>
                    </w:rPr>
                    <w:t xml:space="preserve"> (1) Bu Tebliğ </w:t>
                  </w:r>
                  <w:proofErr w:type="gramStart"/>
                  <w:r>
                    <w:rPr>
                      <w:sz w:val="18"/>
                      <w:szCs w:val="18"/>
                    </w:rPr>
                    <w:t>3/7/2017</w:t>
                  </w:r>
                  <w:proofErr w:type="gramEnd"/>
                  <w:r>
                    <w:rPr>
                      <w:sz w:val="18"/>
                      <w:szCs w:val="18"/>
                    </w:rPr>
                    <w:t xml:space="preserve"> tarihinden geçerli olmak üzere yayımı tarihinde yürürlüğe girer.</w:t>
                  </w:r>
                </w:p>
                <w:p w:rsidR="00EE3F40" w:rsidRDefault="00EE3F40">
                  <w:pPr>
                    <w:pStyle w:val="Metin"/>
                    <w:spacing w:line="240" w:lineRule="exact"/>
                    <w:rPr>
                      <w:b/>
                      <w:bCs/>
                      <w:sz w:val="18"/>
                      <w:szCs w:val="18"/>
                    </w:rPr>
                  </w:pPr>
                  <w:r>
                    <w:rPr>
                      <w:b/>
                      <w:bCs/>
                      <w:sz w:val="18"/>
                      <w:szCs w:val="18"/>
                    </w:rPr>
                    <w:t>Yürütme</w:t>
                  </w:r>
                </w:p>
                <w:p w:rsidR="00EE3F40" w:rsidRDefault="00EE3F40">
                  <w:pPr>
                    <w:pStyle w:val="Metin"/>
                    <w:spacing w:line="240" w:lineRule="exact"/>
                    <w:rPr>
                      <w:sz w:val="18"/>
                      <w:szCs w:val="18"/>
                    </w:rPr>
                  </w:pPr>
                  <w:r>
                    <w:rPr>
                      <w:b/>
                      <w:bCs/>
                      <w:sz w:val="18"/>
                      <w:szCs w:val="18"/>
                    </w:rPr>
                    <w:t>MADDE 7 –</w:t>
                  </w:r>
                  <w:r>
                    <w:rPr>
                      <w:sz w:val="18"/>
                      <w:szCs w:val="18"/>
                    </w:rPr>
                    <w:t xml:space="preserve"> (1) Bu Tebliğ hükümlerini Ekonomi Bakanı yürütür.</w:t>
                  </w:r>
                </w:p>
                <w:p w:rsidR="00EE3F40" w:rsidRDefault="00EE3F40">
                  <w:pPr>
                    <w:pStyle w:val="Metin"/>
                    <w:spacing w:line="240" w:lineRule="exact"/>
                    <w:ind w:firstLine="0"/>
                    <w:jc w:val="center"/>
                    <w:rPr>
                      <w:sz w:val="18"/>
                      <w:szCs w:val="18"/>
                    </w:rPr>
                  </w:pPr>
                </w:p>
                <w:p w:rsidR="00EE3F40" w:rsidRDefault="00EE3F40">
                  <w:pPr>
                    <w:pStyle w:val="Metin"/>
                    <w:spacing w:line="240" w:lineRule="exact"/>
                    <w:ind w:firstLine="0"/>
                    <w:jc w:val="center"/>
                    <w:rPr>
                      <w:sz w:val="18"/>
                      <w:szCs w:val="18"/>
                    </w:rPr>
                  </w:pPr>
                </w:p>
                <w:p w:rsidR="00EE3F40" w:rsidRDefault="00EE3F40">
                  <w:pPr>
                    <w:pStyle w:val="Metin"/>
                    <w:spacing w:line="240" w:lineRule="exact"/>
                    <w:ind w:firstLine="0"/>
                    <w:jc w:val="left"/>
                    <w:rPr>
                      <w:b/>
                      <w:bCs/>
                      <w:sz w:val="18"/>
                      <w:szCs w:val="18"/>
                    </w:rPr>
                  </w:pPr>
                  <w:hyperlink r:id="rId5" w:history="1">
                    <w:r>
                      <w:rPr>
                        <w:rStyle w:val="Kpr"/>
                        <w:b/>
                        <w:bCs/>
                        <w:sz w:val="18"/>
                        <w:szCs w:val="18"/>
                        <w:u w:val="none"/>
                      </w:rPr>
                      <w:t>Ekler için tıklayınız.</w:t>
                    </w:r>
                  </w:hyperlink>
                </w:p>
                <w:p w:rsidR="00EE3F40" w:rsidRDefault="00EE3F40">
                  <w:pPr>
                    <w:pStyle w:val="NormalWeb"/>
                    <w:jc w:val="center"/>
                    <w:rPr>
                      <w:rFonts w:ascii="Arial" w:hAnsi="Arial" w:cs="Arial"/>
                      <w:b/>
                      <w:bCs/>
                      <w:color w:val="000080"/>
                      <w:sz w:val="18"/>
                      <w:szCs w:val="18"/>
                    </w:rPr>
                  </w:pPr>
                </w:p>
              </w:tc>
            </w:tr>
          </w:tbl>
          <w:p w:rsidR="00EE3F40" w:rsidRDefault="00EE3F40">
            <w:pPr>
              <w:jc w:val="center"/>
              <w:rPr>
                <w:rFonts w:ascii="Times New Roman" w:eastAsia="Times New Roman" w:hAnsi="Times New Roman"/>
                <w:sz w:val="20"/>
                <w:szCs w:val="20"/>
                <w:lang w:eastAsia="tr-TR"/>
              </w:rPr>
            </w:pPr>
          </w:p>
        </w:tc>
      </w:tr>
    </w:tbl>
    <w:p w:rsidR="00EE3F40" w:rsidRDefault="00EE3F40" w:rsidP="00EE3F40">
      <w:pPr>
        <w:jc w:val="center"/>
      </w:pPr>
    </w:p>
    <w:p w:rsidR="00EE3F40" w:rsidRDefault="00EE3F40" w:rsidP="00EE3F40"/>
    <w:p w:rsidR="000513DA" w:rsidRDefault="000513DA"/>
    <w:sectPr w:rsidR="0005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33"/>
    <w:rsid w:val="0002577D"/>
    <w:rsid w:val="000513DA"/>
    <w:rsid w:val="002A34B6"/>
    <w:rsid w:val="00301924"/>
    <w:rsid w:val="003F0ECD"/>
    <w:rsid w:val="00411633"/>
    <w:rsid w:val="00475444"/>
    <w:rsid w:val="005956F3"/>
    <w:rsid w:val="00677121"/>
    <w:rsid w:val="006E431E"/>
    <w:rsid w:val="006F71C4"/>
    <w:rsid w:val="007179DE"/>
    <w:rsid w:val="007E667B"/>
    <w:rsid w:val="00826CAC"/>
    <w:rsid w:val="008D4DA8"/>
    <w:rsid w:val="0092511C"/>
    <w:rsid w:val="00A6639F"/>
    <w:rsid w:val="00B00A49"/>
    <w:rsid w:val="00B049F3"/>
    <w:rsid w:val="00B2252E"/>
    <w:rsid w:val="00B9766D"/>
    <w:rsid w:val="00C7737A"/>
    <w:rsid w:val="00DF75E1"/>
    <w:rsid w:val="00EE3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40"/>
    <w:rPr>
      <w:rFonts w:ascii="Calibri" w:eastAsiaTheme="minorHAns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3F40"/>
    <w:rPr>
      <w:color w:val="0000FF"/>
      <w:u w:val="single"/>
    </w:rPr>
  </w:style>
  <w:style w:type="paragraph" w:styleId="NormalWeb">
    <w:name w:val="Normal (Web)"/>
    <w:basedOn w:val="Normal"/>
    <w:uiPriority w:val="99"/>
    <w:unhideWhenUsed/>
    <w:rsid w:val="00EE3F40"/>
    <w:pPr>
      <w:spacing w:before="100" w:beforeAutospacing="1" w:after="100" w:afterAutospacing="1"/>
    </w:pPr>
    <w:rPr>
      <w:rFonts w:ascii="Times New Roman" w:hAnsi="Times New Roman"/>
      <w:sz w:val="24"/>
      <w:szCs w:val="24"/>
      <w:lang w:eastAsia="tr-TR"/>
    </w:rPr>
  </w:style>
  <w:style w:type="paragraph" w:customStyle="1" w:styleId="Balk11pt">
    <w:name w:val="Başlık 11 pt"/>
    <w:basedOn w:val="Normal"/>
    <w:uiPriority w:val="99"/>
    <w:rsid w:val="00EE3F40"/>
    <w:pPr>
      <w:ind w:firstLine="566"/>
      <w:jc w:val="both"/>
    </w:pPr>
    <w:rPr>
      <w:rFonts w:ascii="Times New Roman" w:hAnsi="Times New Roman"/>
      <w:u w:val="single"/>
      <w:lang w:eastAsia="tr-TR"/>
    </w:rPr>
  </w:style>
  <w:style w:type="paragraph" w:customStyle="1" w:styleId="OrtaBalkBold">
    <w:name w:val="Orta Başlık Bold"/>
    <w:basedOn w:val="Normal"/>
    <w:uiPriority w:val="99"/>
    <w:rsid w:val="00EE3F40"/>
    <w:pPr>
      <w:jc w:val="center"/>
    </w:pPr>
    <w:rPr>
      <w:rFonts w:ascii="Times New Roman" w:hAnsi="Times New Roman"/>
      <w:b/>
      <w:bCs/>
      <w:sz w:val="19"/>
      <w:szCs w:val="19"/>
      <w:lang w:eastAsia="tr-TR"/>
    </w:rPr>
  </w:style>
  <w:style w:type="paragraph" w:customStyle="1" w:styleId="Metin">
    <w:name w:val="Metin"/>
    <w:basedOn w:val="Normal"/>
    <w:uiPriority w:val="99"/>
    <w:rsid w:val="00EE3F40"/>
    <w:pPr>
      <w:ind w:firstLine="566"/>
      <w:jc w:val="both"/>
    </w:pPr>
    <w:rPr>
      <w:rFonts w:ascii="Times New Roman" w:hAnsi="Times New Roman"/>
      <w:sz w:val="19"/>
      <w:szCs w:val="19"/>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40"/>
    <w:rPr>
      <w:rFonts w:ascii="Calibri" w:eastAsiaTheme="minorHAns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3F40"/>
    <w:rPr>
      <w:color w:val="0000FF"/>
      <w:u w:val="single"/>
    </w:rPr>
  </w:style>
  <w:style w:type="paragraph" w:styleId="NormalWeb">
    <w:name w:val="Normal (Web)"/>
    <w:basedOn w:val="Normal"/>
    <w:uiPriority w:val="99"/>
    <w:unhideWhenUsed/>
    <w:rsid w:val="00EE3F40"/>
    <w:pPr>
      <w:spacing w:before="100" w:beforeAutospacing="1" w:after="100" w:afterAutospacing="1"/>
    </w:pPr>
    <w:rPr>
      <w:rFonts w:ascii="Times New Roman" w:hAnsi="Times New Roman"/>
      <w:sz w:val="24"/>
      <w:szCs w:val="24"/>
      <w:lang w:eastAsia="tr-TR"/>
    </w:rPr>
  </w:style>
  <w:style w:type="paragraph" w:customStyle="1" w:styleId="Balk11pt">
    <w:name w:val="Başlık 11 pt"/>
    <w:basedOn w:val="Normal"/>
    <w:uiPriority w:val="99"/>
    <w:rsid w:val="00EE3F40"/>
    <w:pPr>
      <w:ind w:firstLine="566"/>
      <w:jc w:val="both"/>
    </w:pPr>
    <w:rPr>
      <w:rFonts w:ascii="Times New Roman" w:hAnsi="Times New Roman"/>
      <w:u w:val="single"/>
      <w:lang w:eastAsia="tr-TR"/>
    </w:rPr>
  </w:style>
  <w:style w:type="paragraph" w:customStyle="1" w:styleId="OrtaBalkBold">
    <w:name w:val="Orta Başlık Bold"/>
    <w:basedOn w:val="Normal"/>
    <w:uiPriority w:val="99"/>
    <w:rsid w:val="00EE3F40"/>
    <w:pPr>
      <w:jc w:val="center"/>
    </w:pPr>
    <w:rPr>
      <w:rFonts w:ascii="Times New Roman" w:hAnsi="Times New Roman"/>
      <w:b/>
      <w:bCs/>
      <w:sz w:val="19"/>
      <w:szCs w:val="19"/>
      <w:lang w:eastAsia="tr-TR"/>
    </w:rPr>
  </w:style>
  <w:style w:type="paragraph" w:customStyle="1" w:styleId="Metin">
    <w:name w:val="Metin"/>
    <w:basedOn w:val="Normal"/>
    <w:uiPriority w:val="99"/>
    <w:rsid w:val="00EE3F40"/>
    <w:pPr>
      <w:ind w:firstLine="566"/>
      <w:jc w:val="both"/>
    </w:pPr>
    <w:rPr>
      <w:rFonts w:ascii="Times New Roman" w:hAnsi="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5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7/07/20170726-6-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2</cp:revision>
  <dcterms:created xsi:type="dcterms:W3CDTF">2017-07-28T14:33:00Z</dcterms:created>
  <dcterms:modified xsi:type="dcterms:W3CDTF">2017-07-28T14:33:00Z</dcterms:modified>
</cp:coreProperties>
</file>