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6A6979" w:rsidRPr="006A6979" w:rsidTr="006A697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A6979" w:rsidRPr="006A6979">
              <w:trPr>
                <w:trHeight w:val="317"/>
                <w:jc w:val="center"/>
              </w:trPr>
              <w:tc>
                <w:tcPr>
                  <w:tcW w:w="2931" w:type="dxa"/>
                  <w:tcBorders>
                    <w:top w:val="nil"/>
                    <w:left w:val="nil"/>
                    <w:bottom w:val="single" w:sz="4" w:space="0" w:color="660066"/>
                    <w:right w:val="nil"/>
                  </w:tcBorders>
                  <w:vAlign w:val="center"/>
                  <w:hideMark/>
                </w:tcPr>
                <w:p w:rsidR="006A6979" w:rsidRPr="006A6979" w:rsidRDefault="006A6979" w:rsidP="006A6979">
                  <w:pPr>
                    <w:tabs>
                      <w:tab w:val="left" w:pos="567"/>
                      <w:tab w:val="center" w:pos="994"/>
                      <w:tab w:val="center" w:pos="3543"/>
                      <w:tab w:val="right" w:pos="6520"/>
                    </w:tabs>
                    <w:spacing w:line="240" w:lineRule="exact"/>
                    <w:jc w:val="left"/>
                    <w:rPr>
                      <w:rFonts w:ascii="Arial" w:eastAsia="Times New Roman" w:hAnsi="Arial" w:cs="Arial"/>
                      <w:sz w:val="16"/>
                      <w:szCs w:val="16"/>
                      <w:lang w:eastAsia="tr-TR"/>
                    </w:rPr>
                  </w:pPr>
                  <w:bookmarkStart w:id="0" w:name="_GoBack"/>
                  <w:bookmarkEnd w:id="0"/>
                  <w:r w:rsidRPr="006A6979">
                    <w:rPr>
                      <w:rFonts w:ascii="Arial" w:eastAsia="Times New Roman" w:hAnsi="Arial" w:cs="Arial"/>
                      <w:sz w:val="16"/>
                      <w:szCs w:val="16"/>
                      <w:lang w:eastAsia="tr-TR"/>
                    </w:rPr>
                    <w:t>1 Haziran 2017 PERŞEMBE</w:t>
                  </w:r>
                </w:p>
              </w:tc>
              <w:tc>
                <w:tcPr>
                  <w:tcW w:w="2931" w:type="dxa"/>
                  <w:tcBorders>
                    <w:top w:val="nil"/>
                    <w:left w:val="nil"/>
                    <w:bottom w:val="single" w:sz="4" w:space="0" w:color="660066"/>
                    <w:right w:val="nil"/>
                  </w:tcBorders>
                  <w:vAlign w:val="center"/>
                  <w:hideMark/>
                </w:tcPr>
                <w:p w:rsidR="006A6979" w:rsidRPr="006A6979" w:rsidRDefault="006A6979" w:rsidP="006A6979">
                  <w:pPr>
                    <w:tabs>
                      <w:tab w:val="left" w:pos="567"/>
                      <w:tab w:val="center" w:pos="994"/>
                      <w:tab w:val="center" w:pos="3543"/>
                      <w:tab w:val="right" w:pos="6520"/>
                    </w:tabs>
                    <w:spacing w:line="240" w:lineRule="exact"/>
                    <w:jc w:val="center"/>
                    <w:rPr>
                      <w:rFonts w:ascii="Palatino Linotype" w:eastAsia="Times New Roman" w:hAnsi="Palatino Linotype"/>
                      <w:b/>
                      <w:color w:val="800080"/>
                      <w:lang w:eastAsia="tr-TR"/>
                    </w:rPr>
                  </w:pPr>
                  <w:r w:rsidRPr="006A6979">
                    <w:rPr>
                      <w:rFonts w:ascii="Palatino Linotype" w:eastAsia="Times New Roman" w:hAnsi="Palatino Linotype"/>
                      <w:b/>
                      <w:color w:val="800080"/>
                      <w:lang w:eastAsia="tr-TR"/>
                    </w:rPr>
                    <w:t>Resmî Gazete</w:t>
                  </w:r>
                </w:p>
              </w:tc>
              <w:tc>
                <w:tcPr>
                  <w:tcW w:w="2927" w:type="dxa"/>
                  <w:tcBorders>
                    <w:top w:val="nil"/>
                    <w:left w:val="nil"/>
                    <w:bottom w:val="single" w:sz="4" w:space="0" w:color="660066"/>
                    <w:right w:val="nil"/>
                  </w:tcBorders>
                  <w:vAlign w:val="center"/>
                  <w:hideMark/>
                </w:tcPr>
                <w:p w:rsidR="006A6979" w:rsidRPr="006A6979" w:rsidRDefault="006A6979" w:rsidP="006A6979">
                  <w:pPr>
                    <w:spacing w:before="100" w:beforeAutospacing="1" w:after="100" w:afterAutospacing="1"/>
                    <w:jc w:val="right"/>
                    <w:rPr>
                      <w:rFonts w:ascii="Arial" w:eastAsia="Times New Roman" w:hAnsi="Arial" w:cs="Arial"/>
                      <w:sz w:val="16"/>
                      <w:szCs w:val="16"/>
                      <w:lang w:eastAsia="tr-TR"/>
                    </w:rPr>
                  </w:pPr>
                  <w:proofErr w:type="gramStart"/>
                  <w:r w:rsidRPr="006A6979">
                    <w:rPr>
                      <w:rFonts w:ascii="Arial" w:eastAsia="Times New Roman" w:hAnsi="Arial" w:cs="Arial"/>
                      <w:sz w:val="16"/>
                      <w:szCs w:val="16"/>
                      <w:lang w:eastAsia="tr-TR"/>
                    </w:rPr>
                    <w:t>Sayı : 30083</w:t>
                  </w:r>
                  <w:proofErr w:type="gramEnd"/>
                </w:p>
              </w:tc>
            </w:tr>
            <w:tr w:rsidR="006A6979" w:rsidRPr="006A6979">
              <w:trPr>
                <w:trHeight w:val="480"/>
                <w:jc w:val="center"/>
              </w:trPr>
              <w:tc>
                <w:tcPr>
                  <w:tcW w:w="8789" w:type="dxa"/>
                  <w:gridSpan w:val="3"/>
                  <w:vAlign w:val="center"/>
                  <w:hideMark/>
                </w:tcPr>
                <w:p w:rsidR="006A6979" w:rsidRPr="006A6979" w:rsidRDefault="006A6979" w:rsidP="006A6979">
                  <w:pPr>
                    <w:spacing w:before="100" w:beforeAutospacing="1" w:after="100" w:afterAutospacing="1"/>
                    <w:jc w:val="center"/>
                    <w:rPr>
                      <w:rFonts w:ascii="Arial" w:eastAsia="Times New Roman" w:hAnsi="Arial" w:cs="Arial"/>
                      <w:b/>
                      <w:color w:val="000080"/>
                      <w:sz w:val="18"/>
                      <w:szCs w:val="18"/>
                      <w:lang w:eastAsia="tr-TR"/>
                    </w:rPr>
                  </w:pPr>
                  <w:r w:rsidRPr="006A6979">
                    <w:rPr>
                      <w:rFonts w:ascii="Arial" w:eastAsia="Times New Roman" w:hAnsi="Arial" w:cs="Arial"/>
                      <w:b/>
                      <w:color w:val="000080"/>
                      <w:sz w:val="18"/>
                      <w:szCs w:val="18"/>
                      <w:lang w:eastAsia="tr-TR"/>
                    </w:rPr>
                    <w:t>TEBLİĞ</w:t>
                  </w:r>
                </w:p>
              </w:tc>
            </w:tr>
            <w:tr w:rsidR="006A6979" w:rsidRPr="006A6979">
              <w:trPr>
                <w:trHeight w:val="480"/>
                <w:jc w:val="center"/>
              </w:trPr>
              <w:tc>
                <w:tcPr>
                  <w:tcW w:w="8789" w:type="dxa"/>
                  <w:gridSpan w:val="3"/>
                  <w:vAlign w:val="center"/>
                </w:tcPr>
                <w:p w:rsidR="006A6979" w:rsidRPr="006A6979" w:rsidRDefault="006A6979" w:rsidP="006A6979">
                  <w:pPr>
                    <w:tabs>
                      <w:tab w:val="left" w:pos="566"/>
                    </w:tabs>
                    <w:spacing w:line="240" w:lineRule="exact"/>
                    <w:ind w:firstLine="566"/>
                    <w:rPr>
                      <w:rFonts w:eastAsia="Times New Roman"/>
                      <w:sz w:val="18"/>
                      <w:szCs w:val="18"/>
                      <w:u w:val="single"/>
                      <w:lang w:eastAsia="tr-TR"/>
                    </w:rPr>
                  </w:pPr>
                  <w:r w:rsidRPr="006A6979">
                    <w:rPr>
                      <w:rFonts w:eastAsia="Times New Roman"/>
                      <w:sz w:val="18"/>
                      <w:szCs w:val="18"/>
                      <w:u w:val="single"/>
                      <w:lang w:eastAsia="tr-TR"/>
                    </w:rPr>
                    <w:t>Para-Kredi ve Koordinasyon Kurulundan:</w:t>
                  </w:r>
                </w:p>
                <w:p w:rsidR="006A6979" w:rsidRPr="006A6979" w:rsidRDefault="006A6979" w:rsidP="006A6979">
                  <w:pPr>
                    <w:tabs>
                      <w:tab w:val="left" w:pos="566"/>
                    </w:tabs>
                    <w:spacing w:line="240" w:lineRule="exact"/>
                    <w:jc w:val="center"/>
                    <w:rPr>
                      <w:rFonts w:eastAsia="Times New Roman"/>
                      <w:b/>
                      <w:sz w:val="18"/>
                      <w:szCs w:val="18"/>
                      <w:lang w:eastAsia="tr-TR"/>
                    </w:rPr>
                  </w:pPr>
                  <w:r w:rsidRPr="006A6979">
                    <w:rPr>
                      <w:rFonts w:eastAsia="Times New Roman"/>
                      <w:b/>
                      <w:sz w:val="18"/>
                      <w:szCs w:val="18"/>
                      <w:lang w:eastAsia="tr-TR"/>
                    </w:rPr>
                    <w:t>TÜRK ÜRÜNLERİNİN YURTDIŞINDA MARKALAŞMASI, TÜRK MALI İMAJININ</w:t>
                  </w:r>
                </w:p>
                <w:p w:rsidR="006A6979" w:rsidRPr="006A6979" w:rsidRDefault="006A6979" w:rsidP="006A6979">
                  <w:pPr>
                    <w:tabs>
                      <w:tab w:val="left" w:pos="566"/>
                    </w:tabs>
                    <w:spacing w:line="240" w:lineRule="exact"/>
                    <w:jc w:val="center"/>
                    <w:rPr>
                      <w:rFonts w:eastAsia="Times New Roman"/>
                      <w:b/>
                      <w:sz w:val="18"/>
                      <w:szCs w:val="18"/>
                      <w:lang w:eastAsia="tr-TR"/>
                    </w:rPr>
                  </w:pPr>
                  <w:r w:rsidRPr="006A6979">
                    <w:rPr>
                      <w:rFonts w:eastAsia="Times New Roman"/>
                      <w:b/>
                      <w:sz w:val="18"/>
                      <w:szCs w:val="18"/>
                      <w:lang w:eastAsia="tr-TR"/>
                    </w:rPr>
                    <w:t>YERLEŞTİRİLMESİ VE TURQUALITY®’NİN DESTEKLENMESİ</w:t>
                  </w:r>
                </w:p>
                <w:p w:rsidR="006A6979" w:rsidRPr="006A6979" w:rsidRDefault="006A6979" w:rsidP="006A6979">
                  <w:pPr>
                    <w:tabs>
                      <w:tab w:val="left" w:pos="566"/>
                    </w:tabs>
                    <w:spacing w:line="240" w:lineRule="exact"/>
                    <w:jc w:val="center"/>
                    <w:rPr>
                      <w:rFonts w:eastAsia="Times New Roman"/>
                      <w:b/>
                      <w:sz w:val="18"/>
                      <w:szCs w:val="18"/>
                      <w:lang w:eastAsia="tr-TR"/>
                    </w:rPr>
                  </w:pPr>
                  <w:r w:rsidRPr="006A6979">
                    <w:rPr>
                      <w:rFonts w:eastAsia="Times New Roman"/>
                      <w:b/>
                      <w:sz w:val="18"/>
                      <w:szCs w:val="18"/>
                      <w:lang w:eastAsia="tr-TR"/>
                    </w:rPr>
                    <w:t>HAKKINDA TEBLİĞ (TEBLİĞ NO: 2006/4)’DE DEĞİŞİKLİK</w:t>
                  </w:r>
                </w:p>
                <w:p w:rsidR="006A6979" w:rsidRPr="006A6979" w:rsidRDefault="006A6979" w:rsidP="006A6979">
                  <w:pPr>
                    <w:tabs>
                      <w:tab w:val="left" w:pos="566"/>
                    </w:tabs>
                    <w:spacing w:line="240" w:lineRule="exact"/>
                    <w:jc w:val="center"/>
                    <w:rPr>
                      <w:rFonts w:eastAsia="Times New Roman"/>
                      <w:b/>
                      <w:sz w:val="18"/>
                      <w:szCs w:val="18"/>
                      <w:lang w:eastAsia="tr-TR"/>
                    </w:rPr>
                  </w:pPr>
                  <w:r w:rsidRPr="006A6979">
                    <w:rPr>
                      <w:rFonts w:eastAsia="Times New Roman"/>
                      <w:b/>
                      <w:sz w:val="18"/>
                      <w:szCs w:val="18"/>
                      <w:lang w:eastAsia="tr-TR"/>
                    </w:rPr>
                    <w:t>YAPILMASINA DAİR TEBLİĞ (TEBLİĞ NO: 2017/2)</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MADDE 1 –</w:t>
                  </w:r>
                  <w:r w:rsidRPr="006A6979">
                    <w:rPr>
                      <w:rFonts w:eastAsia="Times New Roman"/>
                      <w:sz w:val="18"/>
                      <w:szCs w:val="18"/>
                      <w:lang w:eastAsia="tr-TR"/>
                    </w:rPr>
                    <w:t xml:space="preserve"> </w:t>
                  </w:r>
                  <w:proofErr w:type="gramStart"/>
                  <w:r w:rsidRPr="006A6979">
                    <w:rPr>
                      <w:rFonts w:eastAsia="Times New Roman"/>
                      <w:sz w:val="18"/>
                      <w:szCs w:val="18"/>
                      <w:lang w:eastAsia="tr-TR"/>
                    </w:rPr>
                    <w:t>24/5/2006</w:t>
                  </w:r>
                  <w:proofErr w:type="gramEnd"/>
                  <w:r w:rsidRPr="006A6979">
                    <w:rPr>
                      <w:rFonts w:eastAsia="Times New Roman"/>
                      <w:sz w:val="18"/>
                      <w:szCs w:val="18"/>
                      <w:lang w:eastAsia="tr-TR"/>
                    </w:rPr>
                    <w:t xml:space="preserve"> tarihli ve 26177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2006/4)’in 3 üncü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3 –</w:t>
                  </w:r>
                  <w:r w:rsidRPr="006A6979">
                    <w:rPr>
                      <w:rFonts w:eastAsia="Times New Roman"/>
                      <w:sz w:val="18"/>
                      <w:szCs w:val="18"/>
                      <w:lang w:eastAsia="tr-TR"/>
                    </w:rPr>
                    <w:t xml:space="preserve"> (1) Bu Tebliğde geçen;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Bakanlık: Ekonomi Bakanlığını,</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Birlik: İhracatçı birliklerini,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c) Dış ticaret sermaye şirketi (DTSŞ): Ekonomi Bakanlığı tarafından dış ticaret sermaye şirketi statüsü verilmiş şirketleri,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ç) Gelişim Yol Haritası: Destek kapsamına alınan şirketin mevcut bulunduğu konum, sahip olduğu </w:t>
                  </w:r>
                  <w:proofErr w:type="gramStart"/>
                  <w:r w:rsidRPr="006A6979">
                    <w:rPr>
                      <w:rFonts w:eastAsia="Times New Roman"/>
                      <w:sz w:val="18"/>
                      <w:szCs w:val="18"/>
                      <w:lang w:eastAsia="tr-TR"/>
                    </w:rPr>
                    <w:t>vizyon</w:t>
                  </w:r>
                  <w:proofErr w:type="gramEnd"/>
                  <w:r w:rsidRPr="006A6979">
                    <w:rPr>
                      <w:rFonts w:eastAsia="Times New Roman"/>
                      <w:sz w:val="18"/>
                      <w:szCs w:val="18"/>
                      <w:lang w:eastAsia="tr-TR"/>
                    </w:rPr>
                    <w:t xml:space="preserve"> ve kurumsal stratejileri ile operasyon ve destek süreçleri, organizasyonları ve teknolojik yetkinliklerinin detaylı olarak incelendiği, uluslararası en iyi uygulamalar göz önünde bulundurularak iyileştirme alanlarının tespit edildiği ve bu alanların şirketlerin stratejik öncelikleri doğrultusunda projelendirilip performans göstergeleri ile hedeflerinin yer aldığı ve destek kapsamına alınan şirketin destek kapsamındaki markasına ve destek dönemine ilişkin uygulayacağı Stratejik İş Planını içeren çalışmayı,</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d) Genelge: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2006/4)’e İlişkin Uygulama Usul ve Esasları Genelgesini,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e) Harcama yetkisi verilen şirket: Genelgede belirtilen şartları haiz ve destek kapsamındaki marka adına harcama yetkisi verilen şirketi,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f) Kuruluş: Türkiye İhracatçılar Meclisi (TİM), İhracatçı Birlikleri, Üretici Dernekleri ve Üretici Birliklerini,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g) Marka: 22/12/2016 tarihli ve 6769 sayılı Sınai Mülkiyet Kanunu uyarınca, bir teşebbüsün mal ve hizmetlerini bir başka teşebbüsün mal veya hizmetlerinden ayırt etmeyi sağlaması koşuluyla, kişi adları </w:t>
                  </w:r>
                  <w:proofErr w:type="gramStart"/>
                  <w:r w:rsidRPr="006A6979">
                    <w:rPr>
                      <w:rFonts w:eastAsia="Times New Roman"/>
                      <w:sz w:val="18"/>
                      <w:szCs w:val="18"/>
                      <w:lang w:eastAsia="tr-TR"/>
                    </w:rPr>
                    <w:t>dahil</w:t>
                  </w:r>
                  <w:proofErr w:type="gramEnd"/>
                  <w:r w:rsidRPr="006A6979">
                    <w:rPr>
                      <w:rFonts w:eastAsia="Times New Roman"/>
                      <w:sz w:val="18"/>
                      <w:szCs w:val="18"/>
                      <w:lang w:eastAsia="tr-TR"/>
                    </w:rPr>
                    <w:t>, özellikle sözcükler, şekiller, harfler, sayılar, malların biçimi veya ambalajları gibi çizimle görüntülenebilen veya benzer biçimde ifade edilebilen, baskı yoluyla yayınlanabilen ve çoğaltılabilen her türlü işareti,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ğ) Sektörel dış ticaret şirketi (SDŞ): Ekonomi Bakanlığı tarafından sektörel dış ticaret şirketi statüsü verilmiş şirketleri,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h) Sistem: Bilgisayar veri işleme tekniği kullanılarak TURQUALITY® internet sitesi üzerinden ulaşılan ve bu Tebliğe ilişkin başvuruların yapıldığı, değerlendirildiği ve değerlendirmeye ilişkin bildirimlerin yapıldığı sistemi,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ı) Stratejik İş Planı: Şirketlerin, Gelişim Yol Haritalarında belirlenen hedefler doğrultusunda gerçekleştirecekleri faaliyetlerin, yöntemlerin ve bütçenin belirlendiği planı,</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i) Şirket: </w:t>
                  </w:r>
                  <w:proofErr w:type="gramStart"/>
                  <w:r w:rsidRPr="006A6979">
                    <w:rPr>
                      <w:rFonts w:eastAsia="Times New Roman"/>
                      <w:sz w:val="18"/>
                      <w:szCs w:val="18"/>
                      <w:lang w:eastAsia="tr-TR"/>
                    </w:rPr>
                    <w:t>13/1/2011</w:t>
                  </w:r>
                  <w:proofErr w:type="gramEnd"/>
                  <w:r w:rsidRPr="006A6979">
                    <w:rPr>
                      <w:rFonts w:eastAsia="Times New Roman"/>
                      <w:sz w:val="18"/>
                      <w:szCs w:val="18"/>
                      <w:lang w:eastAsia="tr-TR"/>
                    </w:rPr>
                    <w:t xml:space="preserve"> tarihli ve 6102 sayılı Türk Ticaret Kanunu hükümleri çerçevesinde ticari ve/veya sınai faaliyette bulunan şirketler ile </w:t>
                  </w:r>
                  <w:proofErr w:type="spellStart"/>
                  <w:r w:rsidRPr="006A6979">
                    <w:rPr>
                      <w:rFonts w:eastAsia="Times New Roman"/>
                      <w:sz w:val="18"/>
                      <w:szCs w:val="18"/>
                      <w:lang w:eastAsia="tr-TR"/>
                    </w:rPr>
                    <w:t>DTSŞ</w:t>
                  </w:r>
                  <w:proofErr w:type="spellEnd"/>
                  <w:r w:rsidRPr="006A6979">
                    <w:rPr>
                      <w:rFonts w:eastAsia="Times New Roman"/>
                      <w:sz w:val="18"/>
                      <w:szCs w:val="18"/>
                      <w:lang w:eastAsia="tr-TR"/>
                    </w:rPr>
                    <w:t xml:space="preserve"> ve </w:t>
                  </w:r>
                  <w:proofErr w:type="spellStart"/>
                  <w:r w:rsidRPr="006A6979">
                    <w:rPr>
                      <w:rFonts w:eastAsia="Times New Roman"/>
                      <w:sz w:val="18"/>
                      <w:szCs w:val="18"/>
                      <w:lang w:eastAsia="tr-TR"/>
                    </w:rPr>
                    <w:t>SDŞ’leri</w:t>
                  </w:r>
                  <w:proofErr w:type="spell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 xml:space="preserve">j)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 xml:space="preserve">® Programı: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ülkemizin rekabet avantajını elinde bulundurduğu markalaşma potansiyeli olan ürün gruplarının üretiminden pazarlamasına, satışından satış sonrası verilen hizmetlere kadar bütün süreçleri kapsayan bir destek sistemi haline getirilmesi ve böylece program kapsamındaki şirket markalarının konumlandırılması, konumlarının güçlendirilmesi ve bu markaların uluslararası pazarlara çıkışlarının hızlandırılması ile uluslararası pazarlarda Türk malı imajının oluşturulması ve yerleştirilmesini amaçlayan programı,</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k) TURQUALITY® Sertifikası: </w:t>
                  </w:r>
                  <w:proofErr w:type="gramStart"/>
                  <w:r w:rsidRPr="006A6979">
                    <w:rPr>
                      <w:rFonts w:eastAsia="Times New Roman"/>
                      <w:sz w:val="18"/>
                      <w:szCs w:val="18"/>
                      <w:lang w:eastAsia="tr-TR"/>
                    </w:rPr>
                    <w:t>22/12/2004</w:t>
                  </w:r>
                  <w:proofErr w:type="gramEnd"/>
                  <w:r w:rsidRPr="006A6979">
                    <w:rPr>
                      <w:rFonts w:eastAsia="Times New Roman"/>
                      <w:sz w:val="18"/>
                      <w:szCs w:val="18"/>
                      <w:lang w:eastAsia="tr-TR"/>
                    </w:rPr>
                    <w:t xml:space="preserve"> tarihli ve 25678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İhracat 2004/14 sayılı TURQUALITY® Sertifikasının Düzenlenmesine İlişkin Tebliğ (Tebliğ No: 2004/14)’de belirtilen logoyu,</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l) Üretici Birliği: Aynı imalat dalında faaliyette bulunan üretici şirketlerin kurduğu birlikleri,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m) Üretici Derneği: Aynı imalat dalında faaliyette bulunan üretici şirketlerin kurduğu dernekleri,</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ifade</w:t>
                  </w:r>
                  <w:proofErr w:type="gramEnd"/>
                  <w:r w:rsidRPr="006A6979">
                    <w:rPr>
                      <w:rFonts w:eastAsia="Times New Roman"/>
                      <w:sz w:val="18"/>
                      <w:szCs w:val="18"/>
                      <w:lang w:eastAsia="tr-TR"/>
                    </w:rPr>
                    <w:t xml:space="preserve"> eder.”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2 – </w:t>
                  </w:r>
                  <w:r w:rsidRPr="006A6979">
                    <w:rPr>
                      <w:rFonts w:eastAsia="Times New Roman"/>
                      <w:sz w:val="18"/>
                      <w:szCs w:val="18"/>
                      <w:lang w:eastAsia="tr-TR"/>
                    </w:rPr>
                    <w:t>Aynı Tebliğin 9 uncu maddesi başlığı ile birlikte aşağıdaki şekilde değiştirilmiştir.</w:t>
                  </w:r>
                </w:p>
                <w:p w:rsidR="006A6979" w:rsidRPr="006A6979" w:rsidRDefault="006A6979" w:rsidP="006A6979">
                  <w:pPr>
                    <w:tabs>
                      <w:tab w:val="left" w:pos="566"/>
                    </w:tabs>
                    <w:spacing w:line="240" w:lineRule="exact"/>
                    <w:ind w:firstLine="566"/>
                    <w:rPr>
                      <w:rFonts w:eastAsia="Times New Roman"/>
                      <w:b/>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I- Kuruluşların desteklenmesi: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9 – </w:t>
                  </w:r>
                  <w:r w:rsidRPr="006A6979">
                    <w:rPr>
                      <w:rFonts w:eastAsia="Times New Roman"/>
                      <w:sz w:val="18"/>
                      <w:szCs w:val="18"/>
                      <w:lang w:eastAsia="tr-TR"/>
                    </w:rPr>
                    <w:t>(1) Kuruluşların iştigal sahasına giren ürünlerinin yurt dışı pazarlarda tanıtılması amacıyla Bakanlığa sunacakları proje kapsamında gerçekleştirecekleri ve Genelgede belirtilen tanıtım, danışmanlık ile pazar araştırması çalışması ve raporlarına ilişkin giderleri,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Birlikler için %80 oranında ve proje başına yıllık en fazla 1.000.000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lastRenderedPageBreak/>
                    <w:t>b) Üretici Dernekleri ve Üretici Birlikleri için %50 oranında ve yıllık en fazla 400.000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c) TİM ve iştigal ettiği sektörü tek başına temsil eden Birlikler için %80 oranında ve proje başına yıllık en fazla 2.000.000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ç) Birden fazla Birlik tarafından oluşturulan ve destek kapsamına alınan projeler için Birlik başına 1.000.000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desteklenir</w:t>
                  </w:r>
                  <w:proofErr w:type="gram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Birinci fıkrada düzenlenen destek unsurlarından yararlanmak için Kuruluşların, bütçelerini içeren projeleriyle doğrudan Bakanlığa müracaat etmeleri ve söz konusu projelerin Bakanlık tarafından onaylanması gerekmektedir. Destek başlangıç tarihi, Kuruluşların Bakanlık tarafından destek kapsamına alındığı tarih olup bu tarihten itibaren gerçekleştirilen harcama ve faaliyetler desteklenir.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(3) Kuruluşlar, Bakanlık tarafından destek kapsamına alındıkları tarihten itibaren proje başına en az bir, en fazla dört yıl süreyle desteklenir.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(4) Her bir Kuruluşun aynı anda azami iki projesi desteklenebilir.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(5) Birinci fıkrada belirtilen destek üst limitleri her takvim yılı başında (TÜFE + Yİ-ÜFE)/2 oranında güncellenir.”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3 – </w:t>
                  </w:r>
                  <w:r w:rsidRPr="006A6979">
                    <w:rPr>
                      <w:rFonts w:eastAsia="Times New Roman"/>
                      <w:sz w:val="18"/>
                      <w:szCs w:val="18"/>
                      <w:lang w:eastAsia="tr-TR"/>
                    </w:rPr>
                    <w:t>Aynı Tebliğin 10 uncu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 xml:space="preserve">MADDE 10 – </w:t>
                  </w:r>
                  <w:r w:rsidRPr="006A6979">
                    <w:rPr>
                      <w:rFonts w:eastAsia="Times New Roman"/>
                      <w:sz w:val="18"/>
                      <w:szCs w:val="18"/>
                      <w:lang w:eastAsia="tr-TR"/>
                    </w:rPr>
                    <w:t>(1) Marka Destek Programı kapsamına alınan şirketlerin ve harcama yetkisi verilen şirketlerinin;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Destek kapsamına alınan markalarına ilişkin patent, faydalı model ve endüstriyel tasarım tesciline ilişkin harcamaları ile destek kapsamına alınan markalarının yurt dışında tescili, tescilinin yenilenmesi ve korunmasına ilişkin giderleri %50 oranında ve yıllık en fazla 200.000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Bakanlıkça onaylanan hedef pazarlarında, destek kapsamına alınan markalı ürünleriyle ilgili olarak gerçekleştirdikleri ve Genelgede belirtilen tanıtım harcamaları %50 oranında ve yıllık en fazla 1.600.000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c) Bakanlıkça onaylanan hedef pazarlarında, destek kapsamına alınan markalı ürünleriyle ilgili olarak açtıkları mağaza, ofis, depo ve satış sonrası servis hizmeti veren birimlerine ilişkin;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1) Brüt kira, belediye giderleri, anılan birimlerin kiralanmasına yönelik uygun mahal araştırması ve komisyon harcamaları ile hukuki danışmanlık giderleri %50 oranında ve yıllık en fazla 2.400.000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2) Kiralanan birimin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 ve kurulum/dekorasyon giderleri %50 oranında ve yıllık en fazla 1.200.000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ç) Bakanlıkça onaylanan hedef pazarlarında faaliyet gösteren ve farklı markaların satıldığı teşhir mekanı (</w:t>
                  </w:r>
                  <w:proofErr w:type="spellStart"/>
                  <w:r w:rsidRPr="006A6979">
                    <w:rPr>
                      <w:rFonts w:eastAsia="Times New Roman"/>
                      <w:sz w:val="18"/>
                      <w:szCs w:val="18"/>
                      <w:lang w:eastAsia="tr-TR"/>
                    </w:rPr>
                    <w:t>showroom</w:t>
                  </w:r>
                  <w:proofErr w:type="spellEnd"/>
                  <w:r w:rsidRPr="006A6979">
                    <w:rPr>
                      <w:rFonts w:eastAsia="Times New Roman"/>
                      <w:sz w:val="18"/>
                      <w:szCs w:val="18"/>
                      <w:lang w:eastAsia="tr-TR"/>
                    </w:rPr>
                    <w:t>)/büyük mağazalar (</w:t>
                  </w:r>
                  <w:proofErr w:type="spellStart"/>
                  <w:r w:rsidRPr="006A6979">
                    <w:rPr>
                      <w:rFonts w:eastAsia="Times New Roman"/>
                      <w:sz w:val="18"/>
                      <w:szCs w:val="18"/>
                      <w:lang w:eastAsia="tr-TR"/>
                    </w:rPr>
                    <w:t>department</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store</w:t>
                  </w:r>
                  <w:proofErr w:type="spellEnd"/>
                  <w:r w:rsidRPr="006A6979">
                    <w:rPr>
                      <w:rFonts w:eastAsia="Times New Roman"/>
                      <w:sz w:val="18"/>
                      <w:szCs w:val="18"/>
                      <w:lang w:eastAsia="tr-TR"/>
                    </w:rPr>
                    <w:t>)/marketlerde destek kapsamına alınan markalı ürünleriyle ilgili olarak kiraladıkları reyon, raf, dekorasyonlu köşe (</w:t>
                  </w:r>
                  <w:proofErr w:type="spellStart"/>
                  <w:r w:rsidRPr="006A6979">
                    <w:rPr>
                      <w:rFonts w:eastAsia="Times New Roman"/>
                      <w:sz w:val="18"/>
                      <w:szCs w:val="18"/>
                      <w:lang w:eastAsia="tr-TR"/>
                    </w:rPr>
                    <w:t>shop</w:t>
                  </w:r>
                  <w:proofErr w:type="spellEnd"/>
                  <w:r w:rsidRPr="006A6979">
                    <w:rPr>
                      <w:rFonts w:eastAsia="Times New Roman"/>
                      <w:sz w:val="18"/>
                      <w:szCs w:val="18"/>
                      <w:lang w:eastAsia="tr-TR"/>
                    </w:rPr>
                    <w:t xml:space="preserve"> in </w:t>
                  </w:r>
                  <w:proofErr w:type="spellStart"/>
                  <w:r w:rsidRPr="006A6979">
                    <w:rPr>
                      <w:rFonts w:eastAsia="Times New Roman"/>
                      <w:sz w:val="18"/>
                      <w:szCs w:val="18"/>
                      <w:lang w:eastAsia="tr-TR"/>
                    </w:rPr>
                    <w:t>shop</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kiosk</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stand</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floor</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display</w:t>
                  </w:r>
                  <w:proofErr w:type="spellEnd"/>
                  <w:r w:rsidRPr="006A6979">
                    <w:rPr>
                      <w:rFonts w:eastAsia="Times New Roman"/>
                      <w:sz w:val="18"/>
                      <w:szCs w:val="18"/>
                      <w:lang w:eastAsia="tr-TR"/>
                    </w:rPr>
                    <w:t xml:space="preserve">), ürün teşhir serası tahsis edilmiş satış alanlarına ilişkin brüt kira, belediye giderleri, komisyon,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çalışmaları harcamaları ile anılan birimlerin kiralanmasına yönelik uygun mahal araştırması ile hukuki danışmanlık giderleri ve bu birimlere ilişkin kurulum/dekorasyon giderleri, %50 oranında ve yıllık en fazla 800.000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d) Bakanlıkça onaylanan hedef pazarlarında, destek kapsamına alınan markalı ürünlerinin satışı amacıyla açtıkları teşhir mekanlarına (</w:t>
                  </w:r>
                  <w:proofErr w:type="spellStart"/>
                  <w:r w:rsidRPr="006A6979">
                    <w:rPr>
                      <w:rFonts w:eastAsia="Times New Roman"/>
                      <w:sz w:val="18"/>
                      <w:szCs w:val="18"/>
                      <w:lang w:eastAsia="tr-TR"/>
                    </w:rPr>
                    <w:t>showroom</w:t>
                  </w:r>
                  <w:proofErr w:type="spellEnd"/>
                  <w:r w:rsidRPr="006A6979">
                    <w:rPr>
                      <w:rFonts w:eastAsia="Times New Roman"/>
                      <w:sz w:val="18"/>
                      <w:szCs w:val="18"/>
                      <w:lang w:eastAsia="tr-TR"/>
                    </w:rPr>
                    <w:t xml:space="preserve">) ilişkin brüt kira, belediye giderleri, komisyon,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çalışmaları harcamaları ile anılan birimlerin kiralanmasına yönelik uygun mahal araştırması ile hukuki danışmanlık giderleri ve bu birimlere ilişkin kurulum/dekorasyon giderleri %50 oranında ve yıllık en fazla 800.000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e) Yurt dışı pazarlara girişte zorunlu olan veya avantaj sağlayan kalite, çevre belgeleri/sertifikaları, insan can, mal emniyeti ve güvenliğini gösterir işaretleri; destek kapsamına alınan markalı ürünleriyle ilgili ruhsatlandırma, test, klinik test ve işlemlerine yönelik danışmanlık dâhil her türlü giderleri %50 oranında ve yıllık en fazla 1.000.000 TL tutarında,</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f) Bakanlıkça onaylanan hedef pazarlarında, destek kapsamına alınan markaları ile ilgili olarak </w:t>
                  </w:r>
                  <w:proofErr w:type="spellStart"/>
                  <w:r w:rsidRPr="006A6979">
                    <w:rPr>
                      <w:rFonts w:eastAsia="Times New Roman"/>
                      <w:sz w:val="18"/>
                      <w:szCs w:val="18"/>
                      <w:lang w:eastAsia="tr-TR"/>
                    </w:rPr>
                    <w:t>franchising</w:t>
                  </w:r>
                  <w:proofErr w:type="spellEnd"/>
                  <w:r w:rsidRPr="006A6979">
                    <w:rPr>
                      <w:rFonts w:eastAsia="Times New Roman"/>
                      <w:sz w:val="18"/>
                      <w:szCs w:val="18"/>
                      <w:lang w:eastAsia="tr-TR"/>
                    </w:rPr>
                    <w:t xml:space="preserve"> sistemi ile faaliyete geçirilecek yıllık en fazla 10 mağazasına ilişkin;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1) Kurulum/dekorasyon harcamaları ve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çalışmasına ilişkin giderleri mağaza başına %50 oranında ve en fazla 200.000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Kira giderleri %50 oranında, mağaza başına en fazla iki yıl süresince ve mağaza başına yıllık azami 200.000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g) Uluslararası pazarlarda rekabet avantajını artırmak üzere alacakları, Genelgede belirtilen danışmanlıklara ilişkin giderleri yıllık en fazla 1.200.000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ğ) Destek kapsamına alınan markalı ürünleriyle ilgili, tasarım ve ürün geliştirme konularında istihdam edilen moda/endüstriyel ürün tasarımcısı ve mühendis giderleri %50 oranında ve yıllık en fazla 800.000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h) Destek kapsamına alınan markalarına yönelik Bakanlıkça onaylanan hedef pazarlarına ilişkin pazar araştırması çalışması ve raporlarına ilişkin giderleri %50 oranında ve yıllık en fazla 400.000 TL tutarında,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ı) Destek kapsamına alınan markalı ürünleriyle ilgili olarak gerçekleştirdikleri yurt dışı fuar katılımlarına yönelik Genelgede belirtilen giderleri %50 oranında ve (b) bendi kapsamında belirtilen destek limiti içinde değerlendirilmek kaydıyla,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lastRenderedPageBreak/>
                    <w:t>i) Bakanlıkça onaylanan hedef pazarlarda, destek kapsamına alınan markalı ürünleriyle ilgili olarak aldıkları depolama hizmetine yönelik giderleri %50 oranında ve (ç) bendi kapsamında belirtilen destek limiti içinde değerlendirilmek kaydıyla,</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desteklenir</w:t>
                  </w:r>
                  <w:proofErr w:type="gram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Birinci fıkra çerçevesinde sağlanan desteklere ilişkin limitler destek kapsamındaki her bir marka için geçerlidir.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(3) Birinci fıkrada belirtilen destek üst limitleri her takvim yılı başında (TÜFE + Yİ-ÜFE)/2 oranında güncellenir.”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4 – </w:t>
                  </w:r>
                  <w:r w:rsidRPr="006A6979">
                    <w:rPr>
                      <w:rFonts w:eastAsia="Times New Roman"/>
                      <w:sz w:val="18"/>
                      <w:szCs w:val="18"/>
                      <w:lang w:eastAsia="tr-TR"/>
                    </w:rPr>
                    <w:t>Aynı Tebliğin 11 inci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 xml:space="preserve">MADDE 11 – </w:t>
                  </w:r>
                  <w:r w:rsidRPr="006A6979">
                    <w:rPr>
                      <w:rFonts w:eastAsia="Times New Roman"/>
                      <w:sz w:val="18"/>
                      <w:szCs w:val="18"/>
                      <w:lang w:eastAsia="tr-TR"/>
                    </w:rPr>
                    <w:t>(1) TURQUALITY® Destek Programı kapsamına alınan şirketlerin ve harcama yetkisi verilen şirketlerinin;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TURQUALITY® Sertifikasını haiz markalı ürünleriyle ilgili patent, faydalı model ve endüstriyel tasarım tesciline ilişkin harcamaları ile TURQUALITY® Sertifikasını haiz markalarının yurt dışında tescili, tescilinin yenilenmesi ve korunmasına ilişkin giderleri,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Yurt dışı pazarlara girişte zorunlu olan veya avantaj sağlayan kalite, çevre belgeleri/sertifikaları; insan can, mal emniyeti ve güvenliğini gösterir işaretleri; TURQUALITY® Sertifikasını haiz markalı ürünleriyle ilgili ruhsatlandırma, test, klinik test ve işlemlerine yönelik danışmanlık dâhil her türlü giderleri yıllık en fazla 2.000.000 TL olmak üzere,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c) TURQUALITY® Sertifikasını haiz markalı ürünleriyle ilgili, tasarım ve ürün geliştirme konularında istihdam edilen moda/endüstriyel ürün tasarımcısı ve mühendis giderleri aynı anda azami 10 kişi için,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ç) Bakanlıkça onaylanan hedef pazarlarında, TURQUALITY® Sertifikasını haiz markalı ürünleriyle ilgili olarak gerçekleştirdikleri ve Genelgede belirtilen tanıtım harcamaları,</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d) Bakanlıkça onaylanan hedef pazarlarında, TURQUALITY® Sertifikasını haiz markalı ürünleriyle ilgili olarak;</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1) Açtıkları, aynı anda azami 50 adet mağazaya ilişkin;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i) Brüt kira, belediye giderleri, anılan birimlerin kiralanmasına yönelik uygun mahal araştırması ve komisyon harcamaları ile hukuki danışmanlık giderleri,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ii) Kiralanan birimin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 ve kurulum/dekorasyon giderleri, mağaza başına azami 800.000 TL olmak üzere,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2) Açtıkları ofis, depo, </w:t>
                  </w:r>
                  <w:proofErr w:type="spellStart"/>
                  <w:r w:rsidRPr="006A6979">
                    <w:rPr>
                      <w:rFonts w:eastAsia="Times New Roman"/>
                      <w:sz w:val="18"/>
                      <w:szCs w:val="18"/>
                      <w:lang w:eastAsia="tr-TR"/>
                    </w:rPr>
                    <w:t>showroom</w:t>
                  </w:r>
                  <w:proofErr w:type="spellEnd"/>
                  <w:r w:rsidRPr="006A6979">
                    <w:rPr>
                      <w:rFonts w:eastAsia="Times New Roman"/>
                      <w:sz w:val="18"/>
                      <w:szCs w:val="18"/>
                      <w:lang w:eastAsia="tr-TR"/>
                    </w:rPr>
                    <w:t xml:space="preserve">, satış sonrası servis hizmeti veren birimler ile farklı markaların satıldığı teşhir </w:t>
                  </w:r>
                  <w:proofErr w:type="gramStart"/>
                  <w:r w:rsidRPr="006A6979">
                    <w:rPr>
                      <w:rFonts w:eastAsia="Times New Roman"/>
                      <w:sz w:val="18"/>
                      <w:szCs w:val="18"/>
                      <w:lang w:eastAsia="tr-TR"/>
                    </w:rPr>
                    <w:t>mekanı</w:t>
                  </w:r>
                  <w:proofErr w:type="gramEnd"/>
                  <w:r w:rsidRPr="006A6979">
                    <w:rPr>
                      <w:rFonts w:eastAsia="Times New Roman"/>
                      <w:sz w:val="18"/>
                      <w:szCs w:val="18"/>
                      <w:lang w:eastAsia="tr-TR"/>
                    </w:rPr>
                    <w:t xml:space="preserve"> (</w:t>
                  </w:r>
                  <w:proofErr w:type="spellStart"/>
                  <w:r w:rsidRPr="006A6979">
                    <w:rPr>
                      <w:rFonts w:eastAsia="Times New Roman"/>
                      <w:sz w:val="18"/>
                      <w:szCs w:val="18"/>
                      <w:lang w:eastAsia="tr-TR"/>
                    </w:rPr>
                    <w:t>showroom</w:t>
                  </w:r>
                  <w:proofErr w:type="spellEnd"/>
                  <w:r w:rsidRPr="006A6979">
                    <w:rPr>
                      <w:rFonts w:eastAsia="Times New Roman"/>
                      <w:sz w:val="18"/>
                      <w:szCs w:val="18"/>
                      <w:lang w:eastAsia="tr-TR"/>
                    </w:rPr>
                    <w:t>)/büyük mağazalar (</w:t>
                  </w:r>
                  <w:proofErr w:type="spellStart"/>
                  <w:r w:rsidRPr="006A6979">
                    <w:rPr>
                      <w:rFonts w:eastAsia="Times New Roman"/>
                      <w:sz w:val="18"/>
                      <w:szCs w:val="18"/>
                      <w:lang w:eastAsia="tr-TR"/>
                    </w:rPr>
                    <w:t>department</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store</w:t>
                  </w:r>
                  <w:proofErr w:type="spellEnd"/>
                  <w:r w:rsidRPr="006A6979">
                    <w:rPr>
                      <w:rFonts w:eastAsia="Times New Roman"/>
                      <w:sz w:val="18"/>
                      <w:szCs w:val="18"/>
                      <w:lang w:eastAsia="tr-TR"/>
                    </w:rPr>
                    <w:t>)/marketlerde kiraladıkları reyon, raf, dekorasyonlu köşe (</w:t>
                  </w:r>
                  <w:proofErr w:type="spellStart"/>
                  <w:r w:rsidRPr="006A6979">
                    <w:rPr>
                      <w:rFonts w:eastAsia="Times New Roman"/>
                      <w:sz w:val="18"/>
                      <w:szCs w:val="18"/>
                      <w:lang w:eastAsia="tr-TR"/>
                    </w:rPr>
                    <w:t>shopin</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shop</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kiosk</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stand</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floor</w:t>
                  </w:r>
                  <w:proofErr w:type="spellEnd"/>
                  <w:r w:rsidRPr="006A6979">
                    <w:rPr>
                      <w:rFonts w:eastAsia="Times New Roman"/>
                      <w:sz w:val="18"/>
                      <w:szCs w:val="18"/>
                      <w:lang w:eastAsia="tr-TR"/>
                    </w:rPr>
                    <w:t xml:space="preserve"> </w:t>
                  </w:r>
                  <w:proofErr w:type="spellStart"/>
                  <w:r w:rsidRPr="006A6979">
                    <w:rPr>
                      <w:rFonts w:eastAsia="Times New Roman"/>
                      <w:sz w:val="18"/>
                      <w:szCs w:val="18"/>
                      <w:lang w:eastAsia="tr-TR"/>
                    </w:rPr>
                    <w:t>display</w:t>
                  </w:r>
                  <w:proofErr w:type="spellEnd"/>
                  <w:r w:rsidRPr="006A6979">
                    <w:rPr>
                      <w:rFonts w:eastAsia="Times New Roman"/>
                      <w:sz w:val="18"/>
                      <w:szCs w:val="18"/>
                      <w:lang w:eastAsia="tr-TR"/>
                    </w:rPr>
                    <w:t>) ve ürün teşhir serasına tahsis edilmiş satış alanlarına ilişkin;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i) Brüt kira, belediye giderleri, anılan birimlerin kiralanmasına yönelik uygun mahal araştırması ve komisyon harcamaları ile hukuki danışmanlık giderleri,</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ii) Kiralanan birimin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 ve kurulum/dekorasyon giderleri birim başına azami 800.000 TL olmak üzere,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3) </w:t>
                  </w:r>
                  <w:proofErr w:type="spellStart"/>
                  <w:r w:rsidRPr="006A6979">
                    <w:rPr>
                      <w:rFonts w:eastAsia="Times New Roman"/>
                      <w:sz w:val="18"/>
                      <w:szCs w:val="18"/>
                      <w:lang w:eastAsia="tr-TR"/>
                    </w:rPr>
                    <w:t>Franchising</w:t>
                  </w:r>
                  <w:proofErr w:type="spellEnd"/>
                  <w:r w:rsidRPr="006A6979">
                    <w:rPr>
                      <w:rFonts w:eastAsia="Times New Roman"/>
                      <w:sz w:val="18"/>
                      <w:szCs w:val="18"/>
                      <w:lang w:eastAsia="tr-TR"/>
                    </w:rPr>
                    <w:t xml:space="preserve"> sistemi ile faaliyete geçirilecek, 5 yıllık destek süresi boyunca toplam azami 100 mağaza için,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i) Kira giderleri, aynı mağaza için en fazla iki yıl süresince ve yıllık mağaza başına azami 800.000 TL olmak üzere,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ii) Kurulum/Dekorasyon harcamaları ve </w:t>
                  </w:r>
                  <w:proofErr w:type="gramStart"/>
                  <w:r w:rsidRPr="006A6979">
                    <w:rPr>
                      <w:rFonts w:eastAsia="Times New Roman"/>
                      <w:sz w:val="18"/>
                      <w:szCs w:val="18"/>
                      <w:lang w:eastAsia="tr-TR"/>
                    </w:rPr>
                    <w:t>konsept</w:t>
                  </w:r>
                  <w:proofErr w:type="gramEnd"/>
                  <w:r w:rsidRPr="006A6979">
                    <w:rPr>
                      <w:rFonts w:eastAsia="Times New Roman"/>
                      <w:sz w:val="18"/>
                      <w:szCs w:val="18"/>
                      <w:lang w:eastAsia="tr-TR"/>
                    </w:rPr>
                    <w:t xml:space="preserve"> mimari çalışmaları mağaza başına azami 400.000 TL olmak üzere,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e) Uluslararası pazarlarda rekabet avantajını artırmak üzere alacakları, Genelgede belirtilen danışmanlıklara ilişkin giderler,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f) TURQUALITY® Sertifikasını haiz markalarına yönelik Bakanlıkça onaylanan hedef pazarlarına ilişkin pazar araştırması çalışması ve raporlarına ilişkin giderler,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g) TURQUALITY® Sertifikasını haiz markalı ürünleriyle ilgili olarak gerçekleştirdikleri yurt dışı fuar katılımlarına yönelik Genelgede belirtilen giderler,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ğ) Bakanlıkça onaylanan hedef pazarlarında TURQUALITY® Sertifikasını haiz markalı ürünleriyle ilgili olarak alınan depolama hizmetine yönelik giderler,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%50 oranında desteklenir.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Birinci fıkra çerçevesinde sağlanan desteklere ilişkin limitler destek kapsamındaki her bir marka için geçerlidir.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(3) Birinci fıkrada belirtilen destek üst limitleri her takvim yılı başında (TÜFE + Yİ-ÜFE)/2 oranında güncellenir.”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5 – </w:t>
                  </w:r>
                  <w:r w:rsidRPr="006A6979">
                    <w:rPr>
                      <w:rFonts w:eastAsia="Times New Roman"/>
                      <w:sz w:val="18"/>
                      <w:szCs w:val="18"/>
                      <w:lang w:eastAsia="tr-TR"/>
                    </w:rPr>
                    <w:t>Aynı Tebliğin 13 üncü maddesi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6 – </w:t>
                  </w:r>
                  <w:r w:rsidRPr="006A6979">
                    <w:rPr>
                      <w:rFonts w:eastAsia="Times New Roman"/>
                      <w:sz w:val="18"/>
                      <w:szCs w:val="18"/>
                      <w:lang w:eastAsia="tr-TR"/>
                    </w:rPr>
                    <w:t xml:space="preserve">Aynı Tebliğin 16 </w:t>
                  </w:r>
                  <w:proofErr w:type="spellStart"/>
                  <w:r w:rsidRPr="006A6979">
                    <w:rPr>
                      <w:rFonts w:eastAsia="Times New Roman"/>
                      <w:sz w:val="18"/>
                      <w:szCs w:val="18"/>
                      <w:lang w:eastAsia="tr-TR"/>
                    </w:rPr>
                    <w:t>ncı</w:t>
                  </w:r>
                  <w:proofErr w:type="spellEnd"/>
                  <w:r w:rsidRPr="006A6979">
                    <w:rPr>
                      <w:rFonts w:eastAsia="Times New Roman"/>
                      <w:sz w:val="18"/>
                      <w:szCs w:val="18"/>
                      <w:lang w:eastAsia="tr-TR"/>
                    </w:rPr>
                    <w:t xml:space="preserve"> maddesinin başlığı yürürlükten kaldırılmış olup madde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 xml:space="preserve">MADDE 16 – </w:t>
                  </w:r>
                  <w:r w:rsidRPr="006A6979">
                    <w:rPr>
                      <w:rFonts w:eastAsia="Times New Roman"/>
                      <w:sz w:val="18"/>
                      <w:szCs w:val="18"/>
                      <w:lang w:eastAsia="tr-TR"/>
                    </w:rPr>
                    <w:t xml:space="preserve">(1) Şirketlerin desteklerden yararlanabilmeleri için, TURQUALITY®/Marka Destek Programı </w:t>
                  </w:r>
                  <w:r w:rsidRPr="006A6979">
                    <w:rPr>
                      <w:rFonts w:eastAsia="Times New Roman"/>
                      <w:sz w:val="18"/>
                      <w:szCs w:val="18"/>
                      <w:lang w:eastAsia="tr-TR"/>
                    </w:rPr>
                    <w:lastRenderedPageBreak/>
                    <w:t>kapsamına alınan markalarına ilişkin bir defaya mahsus olmak üzere Bakanlık tarafından yetkilendirilen danışmanlık şirketlerince gerçekleştirilecek Gelişim Yol Haritası yaptırmaları zorunludur. Gelişim Yol Haritası, ilgili markanın destek kapsamına alındığı tarihten itibaren 5 yıllık süreyi kapsar. Şirketlerin bu fıkra uyarınca yaptığı harcamalar en fazla 800.000 TL tutarında ve %50 oranında desteklenir.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Şirketler tarafından, Gelişim Yol Haritasında sunularak Bakanlıkça onaylanan hedef pazarlarına ek olarak yeni hedef pazarlar belirlenebilir. Her bir yeni hedef pazar Bakanlık tarafından incelenip onaylandıktan sonra söz konusu pazardaki harcamalar desteklenebilir. ”</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7 – </w:t>
                  </w:r>
                  <w:r w:rsidRPr="006A6979">
                    <w:rPr>
                      <w:rFonts w:eastAsia="Times New Roman"/>
                      <w:sz w:val="18"/>
                      <w:szCs w:val="18"/>
                      <w:lang w:eastAsia="tr-TR"/>
                    </w:rPr>
                    <w:t xml:space="preserve">Aynı Tebliğin 17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MADDE 8 –</w:t>
                  </w:r>
                  <w:r w:rsidRPr="006A6979">
                    <w:rPr>
                      <w:rFonts w:eastAsia="Times New Roman"/>
                      <w:sz w:val="18"/>
                      <w:szCs w:val="18"/>
                      <w:lang w:eastAsia="tr-TR"/>
                    </w:rPr>
                    <w:t xml:space="preserve"> Aynı Tebliğin 18 inci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18 –</w:t>
                  </w:r>
                  <w:r w:rsidRPr="006A6979">
                    <w:rPr>
                      <w:rFonts w:eastAsia="Times New Roman"/>
                      <w:sz w:val="18"/>
                      <w:szCs w:val="18"/>
                      <w:lang w:eastAsia="tr-TR"/>
                    </w:rPr>
                    <w:t xml:space="preserve"> (1) Bu Tebliğin 10 ve 11 inci maddelerinde belirtilen desteğin başlangıç tarihi, şirketlerin 14 ve 15 inci maddeleri çerçevesinde Bakanlık tarafından destek kapsamına alındığı tarih olup bu tarihten itibaren gerçekleştirilen harcama ve faaliyetler desteklenebilir. Ancak destek ödemesi her hâlükârda Gelişim Yol Haritası Bakanlık tarafından onaylandıktan sonra gerçekleştirilir.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Destek kapsamına alındıktan sonra şirketler tarafından Gelişim Yol Haritasında belirtilen hedef pazarlara ek olarak yeni hedef pazarlar belirlenebilir. Her bir yeni hedef pazar Bakanlık tarafından incelenip onaylandıktan sonra ilgili harcamalar desteklenebilir. ”</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9 – </w:t>
                  </w:r>
                  <w:r w:rsidRPr="006A6979">
                    <w:rPr>
                      <w:rFonts w:eastAsia="Times New Roman"/>
                      <w:sz w:val="18"/>
                      <w:szCs w:val="18"/>
                      <w:lang w:eastAsia="tr-TR"/>
                    </w:rPr>
                    <w:t>Aynı Tebliğin 19 uncu maddesi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10 – </w:t>
                  </w:r>
                  <w:r w:rsidRPr="006A6979">
                    <w:rPr>
                      <w:rFonts w:eastAsia="Times New Roman"/>
                      <w:sz w:val="18"/>
                      <w:szCs w:val="18"/>
                      <w:lang w:eastAsia="tr-TR"/>
                    </w:rPr>
                    <w:t xml:space="preserve">Aynı Tebliğin 20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20 –</w:t>
                  </w:r>
                  <w:r w:rsidRPr="006A6979">
                    <w:rPr>
                      <w:rFonts w:eastAsia="Times New Roman"/>
                      <w:sz w:val="18"/>
                      <w:szCs w:val="18"/>
                      <w:lang w:eastAsia="tr-TR"/>
                    </w:rPr>
                    <w:t xml:space="preserve"> (1) Bu Tebliğ çerçevesinde; Marka Destek Programına alınan şirketler, destek kapsamına alındıkları tarihten itibaren ilgili markalarına yönelik 10 uncu maddede düzenlenen desteklerden 4 yıl süreyle yararlandırılabilir.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Bu Tebliğ çerçevesinde; TURQUALITY® Destek Programına alınan şirketler;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Destek kapsamındaki markalarına yönelik; 11 inci maddenin birinci fıkrasının (e) bendinde belirtilen desteklerden münhasıran hedef pazarlara yönelik olanlar ile aynı maddenin (a), (b), (ç), (d), (f) ve (ğ) bentlerinde düzenlenen desteklerden her bir pazarda azami 5 yıl yararlandırılabilir.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Bu Tebliğin 11 inci maddesinin birinci fıkrasının (e) bendinde belirtilen kurumsal altyapı oluşturmaya yönelik danışmanlık giderlerine ilişkin destekler ile aynı maddenin (c) bendinde belirtilen desteklerden, destek kapsamına alındıkları tarihten itibaren yalnızca ilk 5 yıl yararlandırılabilir.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c) Bu fıkranın (a) bendinde belirtilen süre kısıtları, 11 inci maddenin birinci fıkrasının (g) bendinde belirtilen destekler için uygulanmaz. TURQUALITY® Destek Programına alınan şirketler program </w:t>
                  </w:r>
                  <w:proofErr w:type="gramStart"/>
                  <w:r w:rsidRPr="006A6979">
                    <w:rPr>
                      <w:rFonts w:eastAsia="Times New Roman"/>
                      <w:sz w:val="18"/>
                      <w:szCs w:val="18"/>
                      <w:lang w:eastAsia="tr-TR"/>
                    </w:rPr>
                    <w:t>dahilinde</w:t>
                  </w:r>
                  <w:proofErr w:type="gramEnd"/>
                  <w:r w:rsidRPr="006A6979">
                    <w:rPr>
                      <w:rFonts w:eastAsia="Times New Roman"/>
                      <w:sz w:val="18"/>
                      <w:szCs w:val="18"/>
                      <w:lang w:eastAsia="tr-TR"/>
                    </w:rPr>
                    <w:t xml:space="preserve"> kaldığı süre içinde 11 inci maddenin birinci fıkrasının (g) bendinde belirtilen desteklerden yararlandırılabilir.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(3) TURQUALITY®/Marka Destek Programına alınan şirketlerin ilgili markalarına yönelik desteklerden yararlanmaya devam edebilmeleri için yıllık performans denetimleri sonucunda yeterli performansı ortaya koymaları gerekir.”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MADDE 11 –</w:t>
                  </w:r>
                  <w:r w:rsidRPr="006A6979">
                    <w:rPr>
                      <w:rFonts w:eastAsia="Times New Roman"/>
                      <w:sz w:val="18"/>
                      <w:szCs w:val="18"/>
                      <w:lang w:eastAsia="tr-TR"/>
                    </w:rPr>
                    <w:t xml:space="preserve"> Aynı Tebliğin 21 inci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21 –</w:t>
                  </w:r>
                  <w:r w:rsidRPr="006A6979">
                    <w:rPr>
                      <w:rFonts w:eastAsia="Times New Roman"/>
                      <w:sz w:val="18"/>
                      <w:szCs w:val="18"/>
                      <w:lang w:eastAsia="tr-TR"/>
                    </w:rPr>
                    <w:t xml:space="preserve"> (1) Bu Tebliğin 10 uncu maddesinde düzenlenen desteklerden yararlandırılan şirketler, destek süresi içinde veya bitiminde TURQUALITY® Destek Programı kapsamına alınmak üzere başvuruda bulunabilirler. Yapılan inceleme neticesinde, TURQUALITY® Destek Programı kapsamına alınması uygun görülen şirketler, 20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maddenin ikinci fıkrasının;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(a) bendinde belirtilen desteklerden, Marka Destek Programında ilgili hedef pazarlarda desteklendikleri süre mahsup edilmek suretiyle,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(b) bendinde belirtilen desteklerden, Marka Destek Programında desteklendikleri toplam süre mahsup edilmek suretiyle,</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yararlandırılabilirler</w:t>
                  </w:r>
                  <w:proofErr w:type="gram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Bu Tebliğin 10 uncu maddesinde düzenlenen desteklerden yararlandırılan şirketlerden TURQUALITY® Destek Programı kapsamına alınması uygun görülmeyenler, kalan destek süreleri boyunca 10 uncu maddede düzenlenen desteklerden yararlanmaya devam ettirilir.”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12 – </w:t>
                  </w:r>
                  <w:r w:rsidRPr="006A6979">
                    <w:rPr>
                      <w:rFonts w:eastAsia="Times New Roman"/>
                      <w:sz w:val="18"/>
                      <w:szCs w:val="18"/>
                      <w:lang w:eastAsia="tr-TR"/>
                    </w:rPr>
                    <w:t xml:space="preserve">Aynı Tebliğin 26 </w:t>
                  </w:r>
                  <w:proofErr w:type="spellStart"/>
                  <w:r w:rsidRPr="006A6979">
                    <w:rPr>
                      <w:rFonts w:eastAsia="Times New Roman"/>
                      <w:sz w:val="18"/>
                      <w:szCs w:val="18"/>
                      <w:lang w:eastAsia="tr-TR"/>
                    </w:rPr>
                    <w:t>ncı</w:t>
                  </w:r>
                  <w:proofErr w:type="spellEnd"/>
                  <w:r w:rsidRPr="006A6979">
                    <w:rPr>
                      <w:rFonts w:eastAsia="Times New Roman"/>
                      <w:sz w:val="18"/>
                      <w:szCs w:val="18"/>
                      <w:lang w:eastAsia="tr-TR"/>
                    </w:rPr>
                    <w:t xml:space="preserve"> maddesi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13 – </w:t>
                  </w:r>
                  <w:r w:rsidRPr="006A6979">
                    <w:rPr>
                      <w:rFonts w:eastAsia="Times New Roman"/>
                      <w:sz w:val="18"/>
                      <w:szCs w:val="18"/>
                      <w:lang w:eastAsia="tr-TR"/>
                    </w:rPr>
                    <w:t xml:space="preserve">Aynı Tebliğin 27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14 – </w:t>
                  </w:r>
                  <w:r w:rsidRPr="006A6979">
                    <w:rPr>
                      <w:rFonts w:eastAsia="Times New Roman"/>
                      <w:sz w:val="18"/>
                      <w:szCs w:val="18"/>
                      <w:lang w:eastAsia="tr-TR"/>
                    </w:rPr>
                    <w:t>Aynı Tebliğin 28 inci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28 –</w:t>
                  </w:r>
                  <w:r w:rsidRPr="006A6979">
                    <w:rPr>
                      <w:rFonts w:eastAsia="Times New Roman"/>
                      <w:sz w:val="18"/>
                      <w:szCs w:val="18"/>
                      <w:lang w:eastAsia="tr-TR"/>
                    </w:rPr>
                    <w:t xml:space="preserve"> (1) Bu Tebliğ kapsamında yapılan destek başvurularını sonuçlandırmaya yönelik bilgi ve belgeler ile uygulamaya dair diğer usul ve esaslar Genelge ile belirlenir.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Bu Tebliğ kapsamındaki faaliyetlerin destek ödemesinden yararlandırılabilmesi için giderlerin Genelgede belirtilen belgelerle tevsik edilmesi gerekmektedir. Söz konusu belgelerden sözleşme, fatura ve ödeme belgesi harcama belgeleridir.”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15 – </w:t>
                  </w:r>
                  <w:r w:rsidRPr="006A6979">
                    <w:rPr>
                      <w:rFonts w:eastAsia="Times New Roman"/>
                      <w:sz w:val="18"/>
                      <w:szCs w:val="18"/>
                      <w:lang w:eastAsia="tr-TR"/>
                    </w:rPr>
                    <w:t>Aynı Tebliğin 29 uncu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29 –</w:t>
                  </w:r>
                  <w:r w:rsidRPr="006A6979">
                    <w:rPr>
                      <w:rFonts w:eastAsia="Times New Roman"/>
                      <w:sz w:val="18"/>
                      <w:szCs w:val="18"/>
                      <w:lang w:eastAsia="tr-TR"/>
                    </w:rPr>
                    <w:t xml:space="preserve"> (1) Destek başvurusuna konu belge ve faaliyetlerden yurt dışında düzenlenenler ilgili Ticaret Müşavirliği/Ataşeliği/Bakanlık Temsilcisinin onayına ve/veya incelemesine tabidir. Ticaret </w:t>
                  </w:r>
                  <w:r w:rsidRPr="006A6979">
                    <w:rPr>
                      <w:rFonts w:eastAsia="Times New Roman"/>
                      <w:sz w:val="18"/>
                      <w:szCs w:val="18"/>
                      <w:lang w:eastAsia="tr-TR"/>
                    </w:rPr>
                    <w:lastRenderedPageBreak/>
                    <w:t>Müşavirliği/Ataşeliği/Bakanlık Temsilcisinin onay ve incelemesine konu belge ve faaliyetler Genelge ile belirlenir.”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16 – </w:t>
                  </w:r>
                  <w:r w:rsidRPr="006A6979">
                    <w:rPr>
                      <w:rFonts w:eastAsia="Times New Roman"/>
                      <w:sz w:val="18"/>
                      <w:szCs w:val="18"/>
                      <w:lang w:eastAsia="tr-TR"/>
                    </w:rPr>
                    <w:t>Aynı Tebliğin 30 uncu maddesi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17 – </w:t>
                  </w:r>
                  <w:r w:rsidRPr="006A6979">
                    <w:rPr>
                      <w:rFonts w:eastAsia="Times New Roman"/>
                      <w:sz w:val="18"/>
                      <w:szCs w:val="18"/>
                      <w:lang w:eastAsia="tr-TR"/>
                    </w:rPr>
                    <w:t xml:space="preserve">Aynı Tebliğin 32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w:t>
                  </w:r>
                  <w:r w:rsidRPr="006A6979">
                    <w:rPr>
                      <w:rFonts w:eastAsia="Times New Roman"/>
                      <w:b/>
                      <w:sz w:val="18"/>
                      <w:szCs w:val="18"/>
                      <w:lang w:eastAsia="tr-TR"/>
                    </w:rPr>
                    <w:t xml:space="preserve">MADDE 32 – </w:t>
                  </w:r>
                  <w:r w:rsidRPr="006A6979">
                    <w:rPr>
                      <w:rFonts w:eastAsia="Times New Roman"/>
                      <w:sz w:val="18"/>
                      <w:szCs w:val="18"/>
                      <w:lang w:eastAsia="tr-TR"/>
                    </w:rPr>
                    <w:t xml:space="preserve">(1) Ödemeye ilişkin, ibraz edilen belgelerdeki giderlerin (dolaylı vergiler dâhil) Türk Lirası cinsinden olanları Türk Lirası, döviz cinsinden olanları ise ödeme belgesi tarihindeki Gösterge Niteliğindeki Türkiye Cumhuriyet Merkez Bankası Kurları listesinde yer alan çapraz kurları ve döviz alış kurları esas alınarak, ABD Doları karşılığı Türk Lirası olarak Destekleme ve Fiyat İstikrar Fonundan ödenir. </w:t>
                  </w:r>
                  <w:proofErr w:type="gramEnd"/>
                  <w:r w:rsidRPr="006A6979">
                    <w:rPr>
                      <w:rFonts w:eastAsia="Times New Roman"/>
                      <w:sz w:val="18"/>
                      <w:szCs w:val="18"/>
                      <w:lang w:eastAsia="tr-TR"/>
                    </w:rPr>
                    <w:t>Gösterge Niteliğindeki Türkiye Cumhuriyet Merkez Bankası Kurları listesinde yer almayan ülke para birimleri ABD Dolarına çevrilirken Türkiye Cumhuriyet Merkez Bankasınca Alım Satıma Konu Olmayan Bilgi Amaçlı Kur Tablosunda yer alan kurlar esas alınır.”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MADDE 18 –</w:t>
                  </w:r>
                  <w:r w:rsidRPr="006A6979">
                    <w:rPr>
                      <w:rFonts w:eastAsia="Times New Roman"/>
                      <w:sz w:val="18"/>
                      <w:szCs w:val="18"/>
                      <w:lang w:eastAsia="tr-TR"/>
                    </w:rPr>
                    <w:t xml:space="preserve"> Aynı Tebliğin 33 üncü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33 –</w:t>
                  </w:r>
                  <w:r w:rsidRPr="006A6979">
                    <w:rPr>
                      <w:rFonts w:eastAsia="Times New Roman"/>
                      <w:sz w:val="18"/>
                      <w:szCs w:val="18"/>
                      <w:lang w:eastAsia="tr-TR"/>
                    </w:rPr>
                    <w:t xml:space="preserve"> (1) TURQUALITY®/Marka Destek Programına alınan şirketlerin ilgili markalarına yönelik performans denetimi Genelgede belirtilen usul ve esaslar çerçevesinde yapılır.</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(2) Bakanlık, performans raporunu Genelgede belirtilen usulde sunmadığını ve söz konusu raporlar üzerinde yapacağı inceleme neticesinde Gelişim Yol Haritasında belirtilen faaliyetlerden büyük bir bölümünü gerçekleştirmediğini, sağlanan desteği etkin kullanmadığını ve/veya markalaşma konusunda herhangi bir gelişim göstermediğini tespit ettiği kuruluş ve şirketi destek kapsamından çıkarabilir, destek oranlarında indirime gidebilir veya sistem aracılığı ile yapılacak destek başvurularını kısıtlayabilir.”</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19 – </w:t>
                  </w:r>
                  <w:r w:rsidRPr="006A6979">
                    <w:rPr>
                      <w:rFonts w:eastAsia="Times New Roman"/>
                      <w:sz w:val="18"/>
                      <w:szCs w:val="18"/>
                      <w:lang w:eastAsia="tr-TR"/>
                    </w:rPr>
                    <w:t xml:space="preserve">Aynı Tebliğin 37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MADDE 37 –</w:t>
                  </w:r>
                  <w:r w:rsidRPr="006A6979">
                    <w:rPr>
                      <w:rFonts w:eastAsia="Times New Roman"/>
                      <w:sz w:val="18"/>
                      <w:szCs w:val="18"/>
                      <w:lang w:eastAsia="tr-TR"/>
                    </w:rPr>
                    <w:t xml:space="preserve"> (1) Bu Tebliğ hükümleri çerçevesinde destek kapsamına alınan şirketler ve markalar, destek süresi içinde Bakanlık tarafından uygulanan diğer İhracata Yönelik Devlet Yardımlarından;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a) Küresel tedarik zinciri desteği hariç olmak üzere Para-Kredi ve Koordinasyon Kurulunun </w:t>
                  </w:r>
                  <w:proofErr w:type="gramStart"/>
                  <w:r w:rsidRPr="006A6979">
                    <w:rPr>
                      <w:rFonts w:eastAsia="Times New Roman"/>
                      <w:sz w:val="18"/>
                      <w:szCs w:val="18"/>
                      <w:lang w:eastAsia="tr-TR"/>
                    </w:rPr>
                    <w:t>26/8/2014</w:t>
                  </w:r>
                  <w:proofErr w:type="gramEnd"/>
                  <w:r w:rsidRPr="006A6979">
                    <w:rPr>
                      <w:rFonts w:eastAsia="Times New Roman"/>
                      <w:sz w:val="18"/>
                      <w:szCs w:val="18"/>
                      <w:lang w:eastAsia="tr-TR"/>
                    </w:rPr>
                    <w:t xml:space="preserve"> tarihli ve 2014/8 sayılı Pazara Giriş Belgelerinin Desteklenmesine İlişkin Kararından,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b) </w:t>
                  </w:r>
                  <w:proofErr w:type="gramStart"/>
                  <w:r w:rsidRPr="006A6979">
                    <w:rPr>
                      <w:rFonts w:eastAsia="Times New Roman"/>
                      <w:sz w:val="18"/>
                      <w:szCs w:val="18"/>
                      <w:lang w:eastAsia="tr-TR"/>
                    </w:rPr>
                    <w:t>21/3/2011</w:t>
                  </w:r>
                  <w:proofErr w:type="gramEnd"/>
                  <w:r w:rsidRPr="006A6979">
                    <w:rPr>
                      <w:rFonts w:eastAsia="Times New Roman"/>
                      <w:sz w:val="18"/>
                      <w:szCs w:val="18"/>
                      <w:lang w:eastAsia="tr-TR"/>
                    </w:rPr>
                    <w:t xml:space="preserve"> tarihli ve 27881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Pazar Araştırması ve Pazara Giriş Desteği Hakkında Tebliğ (Tebliğ No: 2011/1) kapsamında sağlanan yurt dışı pazar araştırması desteğinden,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c) </w:t>
                  </w:r>
                  <w:proofErr w:type="gramStart"/>
                  <w:r w:rsidRPr="006A6979">
                    <w:rPr>
                      <w:rFonts w:eastAsia="Times New Roman"/>
                      <w:sz w:val="18"/>
                      <w:szCs w:val="18"/>
                      <w:lang w:eastAsia="tr-TR"/>
                    </w:rPr>
                    <w:t>23/9/2010</w:t>
                  </w:r>
                  <w:proofErr w:type="gramEnd"/>
                  <w:r w:rsidRPr="006A6979">
                    <w:rPr>
                      <w:rFonts w:eastAsia="Times New Roman"/>
                      <w:sz w:val="18"/>
                      <w:szCs w:val="18"/>
                      <w:lang w:eastAsia="tr-TR"/>
                    </w:rPr>
                    <w:t xml:space="preserve"> tarihli ve 27708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Uluslararası Rekabetçiliğin Geliştirilmesinin Desteklenmesi Hakkında Tebliğ (Tebliğ No: 2010/8) kapsamında sağlanan bireysel danışmanlık desteğinden,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ç) Türk Ticaret Merkezleri desteği hariç olmak üzere </w:t>
                  </w:r>
                  <w:proofErr w:type="gramStart"/>
                  <w:r w:rsidRPr="006A6979">
                    <w:rPr>
                      <w:rFonts w:eastAsia="Times New Roman"/>
                      <w:sz w:val="18"/>
                      <w:szCs w:val="18"/>
                      <w:lang w:eastAsia="tr-TR"/>
                    </w:rPr>
                    <w:t>18/8/2010</w:t>
                  </w:r>
                  <w:proofErr w:type="gramEnd"/>
                  <w:r w:rsidRPr="006A6979">
                    <w:rPr>
                      <w:rFonts w:eastAsia="Times New Roman"/>
                      <w:sz w:val="18"/>
                      <w:szCs w:val="18"/>
                      <w:lang w:eastAsia="tr-TR"/>
                    </w:rPr>
                    <w:t xml:space="preserve"> tarihli ve 27676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Yurt Dışı Birim, Marka ve Tanıtım Faaliyetlerinin Desteklenmesi Hakkında Tebliğ (Tebliğ No: 2010/6)’den, </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d) </w:t>
                  </w:r>
                  <w:proofErr w:type="gramStart"/>
                  <w:r w:rsidRPr="006A6979">
                    <w:rPr>
                      <w:rFonts w:eastAsia="Times New Roman"/>
                      <w:sz w:val="18"/>
                      <w:szCs w:val="18"/>
                      <w:lang w:eastAsia="tr-TR"/>
                    </w:rPr>
                    <w:t>30/12/2009</w:t>
                  </w:r>
                  <w:proofErr w:type="gramEnd"/>
                  <w:r w:rsidRPr="006A6979">
                    <w:rPr>
                      <w:rFonts w:eastAsia="Times New Roman"/>
                      <w:sz w:val="18"/>
                      <w:szCs w:val="18"/>
                      <w:lang w:eastAsia="tr-TR"/>
                    </w:rPr>
                    <w:t xml:space="preserve"> tarihli ve 27448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Yurt Dışında Gerçekleştirilen Fuar Katılımlarının Desteklenmesine İlişkin Tebliğ (Tebliğ No: 2009/5)’den, </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e) </w:t>
                  </w:r>
                  <w:proofErr w:type="gramStart"/>
                  <w:r w:rsidRPr="006A6979">
                    <w:rPr>
                      <w:rFonts w:eastAsia="Times New Roman"/>
                      <w:sz w:val="18"/>
                      <w:szCs w:val="18"/>
                      <w:lang w:eastAsia="tr-TR"/>
                    </w:rPr>
                    <w:t>18/4/2008</w:t>
                  </w:r>
                  <w:proofErr w:type="gramEnd"/>
                  <w:r w:rsidRPr="006A6979">
                    <w:rPr>
                      <w:rFonts w:eastAsia="Times New Roman"/>
                      <w:sz w:val="18"/>
                      <w:szCs w:val="18"/>
                      <w:lang w:eastAsia="tr-TR"/>
                    </w:rPr>
                    <w:t xml:space="preserve"> tarihli ve 26851 sayılı Resmî </w:t>
                  </w:r>
                  <w:proofErr w:type="spellStart"/>
                  <w:r w:rsidRPr="006A6979">
                    <w:rPr>
                      <w:rFonts w:eastAsia="Times New Roman"/>
                      <w:sz w:val="18"/>
                      <w:szCs w:val="18"/>
                      <w:lang w:eastAsia="tr-TR"/>
                    </w:rPr>
                    <w:t>Gazete’de</w:t>
                  </w:r>
                  <w:proofErr w:type="spellEnd"/>
                  <w:r w:rsidRPr="006A6979">
                    <w:rPr>
                      <w:rFonts w:eastAsia="Times New Roman"/>
                      <w:sz w:val="18"/>
                      <w:szCs w:val="18"/>
                      <w:lang w:eastAsia="tr-TR"/>
                    </w:rPr>
                    <w:t xml:space="preserve"> yayımlanan Tasarım Desteği Hakkında Tebliğ (Tebliğ No: 2008/2)’den,</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yararlandırılmazlar</w:t>
                  </w:r>
                  <w:proofErr w:type="gram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Bu Tebliğ hükümleri çerçevesinde harcama yetkisi verilen şirketler, destek kapsamındaki markaya ilişkin harcamaları için, destek süresi içinde Bakanlık tarafından uygulanan diğer İhracata Yönelik Devlet Yardımlarından;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Küresel tedarik zinciri desteği hariç olmak üzere 2014/8 sayılı Pazara Giriş Belgelerinin Desteklenmesine İlişkin Karardan,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Pazar Araştırması ve Pazara Giriş Desteği Hakkında Tebliğ (Tebliğ No: 2011/1) kapsamında sağlanan yurt dışı pazar araştırması desteğinden,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c) Uluslararası Rekabetçiliğin Geliştirilmesinin Desteklenmesi Hakkında Tebliğ (Tebliğ No: 2010/8) kapsamında sağlanan bireysel danışmanlık desteğinden,</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ç) Türk Ticaret Merkezleri desteği hariç olmak üzere Yurt Dışı Birim, Marka ve Tanıtım Faaliyetlerinin Desteklenmesi Hakkında Tebliğ (Tebliğ No: 2010/6)’den, </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d) Yurt Dışında Gerçekleştirilen Fuar Katılımlarının Desteklenmesine İlişkin Tebliğ (Tebliğ No: 2009/5)’den, </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e) Tasarım Desteği Hakkında Tebliğ (Tebliğ No: 2008/2)’den,</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yararlandırılmazlar</w:t>
                  </w:r>
                  <w:proofErr w:type="gram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(3) Bu Tebliğ hükümleri çerçevesinde destek kapsamına alınan şirketlerin ve markaların, destek süresi bitiminde, 10 uncu maddenin birinci fıkrasının (c), (ç) ve (f) bentleri ile 11 inci maddesinin birinci fıkrasının (d) bendi çerçevesinde sağlanan desteklerden yararlandıkları hedef pazarlarda bulunan birimlerine yönelik Yurt Dışı Birim, Marka ve Tanıtım Faaliyetlerinin Desteklenmesi Hakkında Tebliğ (Tebliğ No: 2010/6) kapsamında gerçekleştirecekleri başvurular, ilgili hedef pazara yönelik olarak bu Tebliğ kapsamında desteklendikleri süre mahsup edilerek değerlendirmeye alınır.</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 xml:space="preserve">(4) Bu Tebliğ hükümleri çerçevesinde harcama yetkisi verilen şirketlerin, destek kapsamındaki markaya ilişkin harcamaları için, destek süresi bitiminde, bu Tebliğin 10 uncu maddesinin birinci fıkrasının (c), (ç) ve (f) bentleri ile 11 inci maddesinin birinci fıkrasının (d) bendi çerçevesinde sağlanan desteklerden yararlandıkları hedef pazarlarda bulunan birimlerine yönelik Yurt Dışı Birim, Marka ve Tanıtım Faaliyetlerinin Desteklenmesi Hakkında Tebliğ (Tebliğ No: 2010/6) kapsamında gerçekleştirecekleri başvurular, ilgili hedef pazara yönelik olarak bu Tebliğ </w:t>
                  </w:r>
                  <w:r w:rsidRPr="006A6979">
                    <w:rPr>
                      <w:rFonts w:eastAsia="Times New Roman"/>
                      <w:sz w:val="18"/>
                      <w:szCs w:val="18"/>
                      <w:lang w:eastAsia="tr-TR"/>
                    </w:rPr>
                    <w:lastRenderedPageBreak/>
                    <w:t>kapsamında desteklendikleri süre mahsup edilerek değerlendirmeye alınır.</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20 – </w:t>
                  </w:r>
                  <w:r w:rsidRPr="006A6979">
                    <w:rPr>
                      <w:rFonts w:eastAsia="Times New Roman"/>
                      <w:sz w:val="18"/>
                      <w:szCs w:val="18"/>
                      <w:lang w:eastAsia="tr-TR"/>
                    </w:rPr>
                    <w:t xml:space="preserve">Aynı Tebliğin 40 </w:t>
                  </w:r>
                  <w:proofErr w:type="spellStart"/>
                  <w:r w:rsidRPr="006A6979">
                    <w:rPr>
                      <w:rFonts w:eastAsia="Times New Roman"/>
                      <w:sz w:val="18"/>
                      <w:szCs w:val="18"/>
                      <w:lang w:eastAsia="tr-TR"/>
                    </w:rPr>
                    <w:t>ıncı</w:t>
                  </w:r>
                  <w:proofErr w:type="spellEnd"/>
                  <w:r w:rsidRPr="006A6979">
                    <w:rPr>
                      <w:rFonts w:eastAsia="Times New Roman"/>
                      <w:sz w:val="18"/>
                      <w:szCs w:val="18"/>
                      <w:lang w:eastAsia="tr-TR"/>
                    </w:rPr>
                    <w:t xml:space="preserve"> maddesi aşağıdaki şekilde değiştirilmiştir.</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w:t>
                  </w:r>
                  <w:r w:rsidRPr="006A6979">
                    <w:rPr>
                      <w:rFonts w:eastAsia="Times New Roman"/>
                      <w:b/>
                      <w:sz w:val="18"/>
                      <w:szCs w:val="18"/>
                      <w:lang w:eastAsia="tr-TR"/>
                    </w:rPr>
                    <w:t>MADDE 40 –</w:t>
                  </w:r>
                  <w:r w:rsidRPr="006A6979">
                    <w:rPr>
                      <w:rFonts w:eastAsia="Times New Roman"/>
                      <w:sz w:val="18"/>
                      <w:szCs w:val="18"/>
                      <w:lang w:eastAsia="tr-TR"/>
                    </w:rPr>
                    <w:t xml:space="preserve"> (1) Bu Tebliğin uygulama usul ve esaslarını belirlemeye, uygulamada ortaya çıkacak ihtilafları haklı ve mücbir sebep hallerini de gözetmek suretiyle inceleyip sonuçlandırmaya ve bu Tebliğ hükümleri çerçevesinde destek kapsamına alınacak kuruluş ile şirketleri ihracat stratejisinde belirtilen ilke, hedef ve politikalar çerçevesinde tespit etmeye, ödenecek destek miktarını her türlü kamu alacağına karşılık mahsup etmeye, gerekli görülmesi durumunda bütçe imkânları çerçevesinde destek kapsamında değerlendirilecek harcama ve destek ödeme miktarlarını kısıtlamaya, bu Tebliğde yer alan lehe olan hükümleri uygulamaya ve destek kapsamında değerlendirilecek harcama ve ödeme miktarlarını belirlemeye Bakanlık yetkilidir.”</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21 – </w:t>
                  </w:r>
                  <w:r w:rsidRPr="006A6979">
                    <w:rPr>
                      <w:rFonts w:eastAsia="Times New Roman"/>
                      <w:sz w:val="18"/>
                      <w:szCs w:val="18"/>
                      <w:lang w:eastAsia="tr-TR"/>
                    </w:rPr>
                    <w:t>Aynı Tebliğin Ek-1 ve Ek-2’si yürürlükten kaldırılmıştır.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MADDE 22 –</w:t>
                  </w:r>
                  <w:r w:rsidRPr="006A6979">
                    <w:rPr>
                      <w:rFonts w:eastAsia="Times New Roman"/>
                      <w:sz w:val="18"/>
                      <w:szCs w:val="18"/>
                      <w:lang w:eastAsia="tr-TR"/>
                    </w:rPr>
                    <w:t xml:space="preserve"> Aynı Tebliğe aşağıdaki geçici maddeler eklenmiştir.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w:t>
                  </w:r>
                  <w:r w:rsidRPr="006A6979">
                    <w:rPr>
                      <w:rFonts w:eastAsia="Times New Roman"/>
                      <w:b/>
                      <w:sz w:val="18"/>
                      <w:szCs w:val="18"/>
                      <w:lang w:eastAsia="tr-TR"/>
                    </w:rPr>
                    <w:t>GEÇİCİ MADDE 3 –</w:t>
                  </w:r>
                  <w:r w:rsidRPr="006A6979">
                    <w:rPr>
                      <w:rFonts w:eastAsia="Times New Roman"/>
                      <w:sz w:val="18"/>
                      <w:szCs w:val="18"/>
                      <w:lang w:eastAsia="tr-TR"/>
                    </w:rPr>
                    <w:t xml:space="preserve"> (1) Bu maddenin yürürlüğe girdiği tarihten önceki giderler için, bu maddenin yürürlüğe girdiği tarihten önceki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2006/4)’in lehe olan hükümleri uygulanır. Söz konusu gider tarihinin tespitinde ödeme belgesi tarihi esas alınır.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(2) Bu maddenin yürürlüğe girdiği tarihten önceki giderlerden, bu maddenin yürürlüğe girdiği tarih itibarıyla destek başvurusunda bulunulmamış olanlar için bu maddeyi ihdas eden Tebliğin lehe olan hükümleri uygulanır.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(3) Bu maddenin yürürlüğe girdiği tarih itibarıyla sonuçlandırılmamış harcama destek başvuruları için bu maddeyi ihdas eden Tebliğin lehe olan hükümleri uygulanır.</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b/>
                      <w:sz w:val="18"/>
                      <w:szCs w:val="18"/>
                      <w:lang w:eastAsia="tr-TR"/>
                    </w:rPr>
                    <w:t>GEÇİCİ MADDE 4 –</w:t>
                  </w:r>
                  <w:r w:rsidRPr="006A6979">
                    <w:rPr>
                      <w:rFonts w:eastAsia="Times New Roman"/>
                      <w:sz w:val="18"/>
                      <w:szCs w:val="18"/>
                      <w:lang w:eastAsia="tr-TR"/>
                    </w:rPr>
                    <w:t xml:space="preserve"> (1) Bu maddenin yürürlüğe girdiği tarihten önce yürürlükte olan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2006/4)’in 10 uncu maddesi uyarınca desteklenmiş olan ve bu maddenin yürürlüğe girdiği tarihten önce ilgili markaları ile TURQUALITY® Destek Programı kapsamına alınmış olan şirketlere, bu Tebliğin 21 inci maddesinin birinci fıkrasının (a) ve (b) bentleri uygulanmaz. </w:t>
                  </w:r>
                  <w:proofErr w:type="gramEnd"/>
                  <w:r w:rsidRPr="006A6979">
                    <w:rPr>
                      <w:rFonts w:eastAsia="Times New Roman"/>
                      <w:sz w:val="18"/>
                      <w:szCs w:val="18"/>
                      <w:lang w:eastAsia="tr-TR"/>
                    </w:rPr>
                    <w:t xml:space="preserve">Söz konusu şirketler, ilgili markalarına yönelik Gelişim Yol Haritasını sunmak kaydıyla bu Tebliğin 20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maddesinin ikinci fıkrası hükümlerinden yararlandırılırlar.</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b/>
                      <w:sz w:val="18"/>
                      <w:szCs w:val="18"/>
                      <w:lang w:eastAsia="tr-TR"/>
                    </w:rPr>
                    <w:t>GEÇİCİ MADDE 5 –</w:t>
                  </w:r>
                  <w:r w:rsidRPr="006A6979">
                    <w:rPr>
                      <w:rFonts w:eastAsia="Times New Roman"/>
                      <w:sz w:val="18"/>
                      <w:szCs w:val="18"/>
                      <w:lang w:eastAsia="tr-TR"/>
                    </w:rPr>
                    <w:t xml:space="preserve"> (1) Şirketlerin, bu maddenin yürürlüğe girdiği tarih itibarıyla bu maddenin yürürlüğe girdiği tarihten önceki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2006/4)’in 11 inci maddesi uyarınca 5 yıl ve daha az süre ile desteklenmiş olan markaları bu Tebliğin 20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maddesinin ikinci fıkrasının;</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a) (a) bendinde belirtilen desteklerden, TURQUALITY® Destek Programında ilgili hedef pazarlarda desteklendikleri süre mahsup edilmek suretiyle,</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b) (b) bendinde belirtilen desteklerden, TURQUALITY® Destek Programında desteklendikleri toplam süre mahsup edilmek suretiyle,</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sz w:val="18"/>
                      <w:szCs w:val="18"/>
                      <w:lang w:eastAsia="tr-TR"/>
                    </w:rPr>
                    <w:t>yararlandırılırlar</w:t>
                  </w:r>
                  <w:proofErr w:type="gramEnd"/>
                  <w:r w:rsidRPr="006A6979">
                    <w:rPr>
                      <w:rFonts w:eastAsia="Times New Roman"/>
                      <w:sz w:val="18"/>
                      <w:szCs w:val="18"/>
                      <w:lang w:eastAsia="tr-TR"/>
                    </w:rPr>
                    <w:t>.</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GEÇİCİ MADDE 6 – </w:t>
                  </w:r>
                  <w:r w:rsidRPr="006A6979">
                    <w:rPr>
                      <w:rFonts w:eastAsia="Times New Roman"/>
                      <w:sz w:val="18"/>
                      <w:szCs w:val="18"/>
                      <w:lang w:eastAsia="tr-TR"/>
                    </w:rPr>
                    <w:t xml:space="preserve">(1) Şirketlerin, bu maddenin yürürlüğe girdiği tarihten önce yürürlükte olan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2006/4)’in 11 inci maddesi uyarınca desteklenmiş olan markalarından, bu maddenin yürürlüğe girdiği tarih itibarıyla,</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a) İlave beş yıllık destek süresini kullananlar, hâlihazırda Bakanlıkça onaylanan hedef pazarlarında gerçekleştirdikleri harcamalar için, ilave beş yıllık destek süreleri sona erene kadar bu Tebliğin 20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maddesinin ikinci fıkrasının (a) bendi çerçevesinde hedef pazar bazında belirlenen süreye tabi değildir.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sz w:val="18"/>
                      <w:szCs w:val="18"/>
                      <w:lang w:eastAsia="tr-TR"/>
                    </w:rPr>
                    <w:t xml:space="preserve">b) İlave beş yıllık destek süresi sona erenler için bu Tebliğin 20 </w:t>
                  </w:r>
                  <w:proofErr w:type="spellStart"/>
                  <w:r w:rsidRPr="006A6979">
                    <w:rPr>
                      <w:rFonts w:eastAsia="Times New Roman"/>
                      <w:sz w:val="18"/>
                      <w:szCs w:val="18"/>
                      <w:lang w:eastAsia="tr-TR"/>
                    </w:rPr>
                    <w:t>nci</w:t>
                  </w:r>
                  <w:proofErr w:type="spellEnd"/>
                  <w:r w:rsidRPr="006A6979">
                    <w:rPr>
                      <w:rFonts w:eastAsia="Times New Roman"/>
                      <w:sz w:val="18"/>
                      <w:szCs w:val="18"/>
                      <w:lang w:eastAsia="tr-TR"/>
                    </w:rPr>
                    <w:t xml:space="preserve"> maddesinin ikinci fıkrasının (b) bendi uygulanmaz. Bu şirketlerin destek kapsamındaki markalarına yönelik olarak, Bakanlıkça onaylanan hedef pazarlarında gerçekleştirecekleri harcamalar, anılan fıkranın (a) bendi çerçevesinde değerlendirilir.</w:t>
                  </w:r>
                </w:p>
                <w:p w:rsidR="006A6979" w:rsidRPr="006A6979" w:rsidRDefault="006A6979" w:rsidP="006A6979">
                  <w:pPr>
                    <w:tabs>
                      <w:tab w:val="left" w:pos="566"/>
                    </w:tabs>
                    <w:spacing w:line="240" w:lineRule="exact"/>
                    <w:ind w:firstLine="566"/>
                    <w:rPr>
                      <w:rFonts w:eastAsia="Times New Roman"/>
                      <w:sz w:val="18"/>
                      <w:szCs w:val="18"/>
                      <w:lang w:eastAsia="tr-TR"/>
                    </w:rPr>
                  </w:pPr>
                  <w:proofErr w:type="gramStart"/>
                  <w:r w:rsidRPr="006A6979">
                    <w:rPr>
                      <w:rFonts w:eastAsia="Times New Roman"/>
                      <w:b/>
                      <w:sz w:val="18"/>
                      <w:szCs w:val="18"/>
                      <w:lang w:eastAsia="tr-TR"/>
                    </w:rPr>
                    <w:t>GEÇİCİ MADDE 7 –</w:t>
                  </w:r>
                  <w:r w:rsidRPr="006A6979">
                    <w:rPr>
                      <w:rFonts w:eastAsia="Times New Roman"/>
                      <w:sz w:val="18"/>
                      <w:szCs w:val="18"/>
                      <w:lang w:eastAsia="tr-TR"/>
                    </w:rPr>
                    <w:t xml:space="preserve"> (1) Bu maddenin yürürlüğe girdiği tarihten önce yürürlükte olan Türk Ürünlerinin Yurtdışında Markalaşması, Türk Malı İmajının Yerleştirilmesi ve </w:t>
                  </w:r>
                  <w:proofErr w:type="spellStart"/>
                  <w:r w:rsidRPr="006A6979">
                    <w:rPr>
                      <w:rFonts w:eastAsia="Times New Roman"/>
                      <w:sz w:val="18"/>
                      <w:szCs w:val="18"/>
                      <w:lang w:eastAsia="tr-TR"/>
                    </w:rPr>
                    <w:t>TURQUALITY</w:t>
                  </w:r>
                  <w:proofErr w:type="spellEnd"/>
                  <w:r w:rsidRPr="006A6979">
                    <w:rPr>
                      <w:rFonts w:eastAsia="Times New Roman"/>
                      <w:sz w:val="18"/>
                      <w:szCs w:val="18"/>
                      <w:lang w:eastAsia="tr-TR"/>
                    </w:rPr>
                    <w:t>®’</w:t>
                  </w:r>
                  <w:proofErr w:type="spellStart"/>
                  <w:r w:rsidRPr="006A6979">
                    <w:rPr>
                      <w:rFonts w:eastAsia="Times New Roman"/>
                      <w:sz w:val="18"/>
                      <w:szCs w:val="18"/>
                      <w:lang w:eastAsia="tr-TR"/>
                    </w:rPr>
                    <w:t>nin</w:t>
                  </w:r>
                  <w:proofErr w:type="spellEnd"/>
                  <w:r w:rsidRPr="006A6979">
                    <w:rPr>
                      <w:rFonts w:eastAsia="Times New Roman"/>
                      <w:sz w:val="18"/>
                      <w:szCs w:val="18"/>
                      <w:lang w:eastAsia="tr-TR"/>
                    </w:rPr>
                    <w:t xml:space="preserve"> Desteklenmesi Hakkında Tebliğ (Tebliğ No: 2006/4)’in 10 uncu maddesi kapsamında desteklenen şirketler için aynı maddenin birinci fıkrasının (c), (ç), (d) ve (f) bentleri; 11 inci maddesi kapsamında desteklenen şirketler için aynı maddenin birinci fıkrasının (d) bendi uyarınca desteklerden yararlanmadığı pazarlar yeni hedef pazar sayılacaktır.”</w:t>
                  </w:r>
                  <w:proofErr w:type="gramEnd"/>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23 – </w:t>
                  </w:r>
                  <w:r w:rsidRPr="006A6979">
                    <w:rPr>
                      <w:rFonts w:eastAsia="Times New Roman"/>
                      <w:sz w:val="18"/>
                      <w:szCs w:val="18"/>
                      <w:lang w:eastAsia="tr-TR"/>
                    </w:rPr>
                    <w:t>Bu Tebliğ yayımı tarihinde yürürlüğe girer.</w:t>
                  </w:r>
                </w:p>
                <w:p w:rsidR="006A6979" w:rsidRPr="006A6979" w:rsidRDefault="006A6979" w:rsidP="006A6979">
                  <w:pPr>
                    <w:tabs>
                      <w:tab w:val="left" w:pos="566"/>
                    </w:tabs>
                    <w:spacing w:line="240" w:lineRule="exact"/>
                    <w:ind w:firstLine="566"/>
                    <w:rPr>
                      <w:rFonts w:eastAsia="Times New Roman"/>
                      <w:sz w:val="18"/>
                      <w:szCs w:val="18"/>
                      <w:lang w:eastAsia="tr-TR"/>
                    </w:rPr>
                  </w:pPr>
                  <w:r w:rsidRPr="006A6979">
                    <w:rPr>
                      <w:rFonts w:eastAsia="Times New Roman"/>
                      <w:b/>
                      <w:sz w:val="18"/>
                      <w:szCs w:val="18"/>
                      <w:lang w:eastAsia="tr-TR"/>
                    </w:rPr>
                    <w:t xml:space="preserve">MADDE 24 – </w:t>
                  </w:r>
                  <w:r w:rsidRPr="006A6979">
                    <w:rPr>
                      <w:rFonts w:eastAsia="Times New Roman"/>
                      <w:sz w:val="18"/>
                      <w:szCs w:val="18"/>
                      <w:lang w:eastAsia="tr-TR"/>
                    </w:rPr>
                    <w:t>Bu Tebliğ hükümlerini Ekonomi Bakanı yürütür.</w:t>
                  </w:r>
                </w:p>
                <w:p w:rsidR="006A6979" w:rsidRPr="006A6979" w:rsidRDefault="006A6979" w:rsidP="006A6979">
                  <w:pPr>
                    <w:spacing w:before="100" w:beforeAutospacing="1" w:after="100" w:afterAutospacing="1"/>
                    <w:jc w:val="center"/>
                    <w:rPr>
                      <w:rFonts w:ascii="Arial" w:eastAsia="Times New Roman" w:hAnsi="Arial" w:cs="Arial"/>
                      <w:b/>
                      <w:color w:val="000080"/>
                      <w:sz w:val="18"/>
                      <w:szCs w:val="18"/>
                      <w:lang w:eastAsia="tr-TR"/>
                    </w:rPr>
                  </w:pPr>
                </w:p>
              </w:tc>
            </w:tr>
          </w:tbl>
          <w:p w:rsidR="006A6979" w:rsidRPr="006A6979" w:rsidRDefault="006A6979" w:rsidP="006A6979">
            <w:pPr>
              <w:jc w:val="center"/>
              <w:rPr>
                <w:rFonts w:eastAsia="Times New Roman"/>
                <w:sz w:val="20"/>
                <w:szCs w:val="20"/>
                <w:lang w:eastAsia="tr-TR"/>
              </w:rPr>
            </w:pPr>
          </w:p>
        </w:tc>
      </w:tr>
    </w:tbl>
    <w:p w:rsidR="006A6979" w:rsidRPr="006A6979" w:rsidRDefault="006A6979" w:rsidP="006A6979">
      <w:pPr>
        <w:jc w:val="center"/>
        <w:rPr>
          <w:rFonts w:eastAsia="Times New Roman"/>
          <w:lang w:eastAsia="tr-TR"/>
        </w:rPr>
      </w:pPr>
    </w:p>
    <w:p w:rsidR="00630E4F" w:rsidRDefault="00630E4F"/>
    <w:sectPr w:rsidR="0063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79"/>
    <w:rsid w:val="00630E4F"/>
    <w:rsid w:val="006A0741"/>
    <w:rsid w:val="006A6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A6979"/>
    <w:pPr>
      <w:spacing w:before="100" w:beforeAutospacing="1" w:after="100" w:afterAutospacing="1"/>
      <w:jc w:val="left"/>
    </w:pPr>
    <w:rPr>
      <w:rFonts w:eastAsia="Times New Roman"/>
      <w:lang w:eastAsia="tr-TR"/>
    </w:rPr>
  </w:style>
  <w:style w:type="paragraph" w:customStyle="1" w:styleId="OrtaBalkBold">
    <w:name w:val="Orta Başlık Bold"/>
    <w:rsid w:val="006A6979"/>
    <w:pPr>
      <w:tabs>
        <w:tab w:val="left" w:pos="566"/>
      </w:tabs>
      <w:jc w:val="center"/>
    </w:pPr>
    <w:rPr>
      <w:rFonts w:eastAsia="Times New Roman"/>
      <w:b/>
      <w:sz w:val="19"/>
      <w:szCs w:val="20"/>
      <w:lang w:eastAsia="tr-TR"/>
    </w:rPr>
  </w:style>
  <w:style w:type="paragraph" w:customStyle="1" w:styleId="Balk11pt">
    <w:name w:val="Başlık 11 pt"/>
    <w:rsid w:val="006A6979"/>
    <w:pPr>
      <w:tabs>
        <w:tab w:val="left" w:pos="566"/>
      </w:tabs>
      <w:ind w:firstLine="566"/>
    </w:pPr>
    <w:rPr>
      <w:rFonts w:eastAsia="Times New Roman"/>
      <w:sz w:val="22"/>
      <w:szCs w:val="20"/>
      <w:u w:val="single"/>
      <w:lang w:eastAsia="tr-TR"/>
    </w:rPr>
  </w:style>
  <w:style w:type="paragraph" w:customStyle="1" w:styleId="Metin">
    <w:name w:val="Metin"/>
    <w:rsid w:val="006A6979"/>
    <w:pPr>
      <w:tabs>
        <w:tab w:val="left" w:pos="566"/>
      </w:tabs>
      <w:ind w:firstLine="566"/>
    </w:pPr>
    <w:rPr>
      <w:rFonts w:eastAsia="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A6979"/>
    <w:pPr>
      <w:spacing w:before="100" w:beforeAutospacing="1" w:after="100" w:afterAutospacing="1"/>
      <w:jc w:val="left"/>
    </w:pPr>
    <w:rPr>
      <w:rFonts w:eastAsia="Times New Roman"/>
      <w:lang w:eastAsia="tr-TR"/>
    </w:rPr>
  </w:style>
  <w:style w:type="paragraph" w:customStyle="1" w:styleId="OrtaBalkBold">
    <w:name w:val="Orta Başlık Bold"/>
    <w:rsid w:val="006A6979"/>
    <w:pPr>
      <w:tabs>
        <w:tab w:val="left" w:pos="566"/>
      </w:tabs>
      <w:jc w:val="center"/>
    </w:pPr>
    <w:rPr>
      <w:rFonts w:eastAsia="Times New Roman"/>
      <w:b/>
      <w:sz w:val="19"/>
      <w:szCs w:val="20"/>
      <w:lang w:eastAsia="tr-TR"/>
    </w:rPr>
  </w:style>
  <w:style w:type="paragraph" w:customStyle="1" w:styleId="Balk11pt">
    <w:name w:val="Başlık 11 pt"/>
    <w:rsid w:val="006A6979"/>
    <w:pPr>
      <w:tabs>
        <w:tab w:val="left" w:pos="566"/>
      </w:tabs>
      <w:ind w:firstLine="566"/>
    </w:pPr>
    <w:rPr>
      <w:rFonts w:eastAsia="Times New Roman"/>
      <w:sz w:val="22"/>
      <w:szCs w:val="20"/>
      <w:u w:val="single"/>
      <w:lang w:eastAsia="tr-TR"/>
    </w:rPr>
  </w:style>
  <w:style w:type="paragraph" w:customStyle="1" w:styleId="Metin">
    <w:name w:val="Metin"/>
    <w:rsid w:val="006A6979"/>
    <w:pPr>
      <w:tabs>
        <w:tab w:val="left" w:pos="566"/>
      </w:tabs>
      <w:ind w:firstLine="566"/>
    </w:pPr>
    <w:rPr>
      <w:rFonts w:eastAsia="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2845">
      <w:bodyDiv w:val="1"/>
      <w:marLeft w:val="0"/>
      <w:marRight w:val="0"/>
      <w:marTop w:val="0"/>
      <w:marBottom w:val="0"/>
      <w:divBdr>
        <w:top w:val="none" w:sz="0" w:space="0" w:color="auto"/>
        <w:left w:val="none" w:sz="0" w:space="0" w:color="auto"/>
        <w:bottom w:val="none" w:sz="0" w:space="0" w:color="auto"/>
        <w:right w:val="none" w:sz="0" w:space="0" w:color="auto"/>
      </w:divBdr>
      <w:divsChild>
        <w:div w:id="1866557535">
          <w:marLeft w:val="0"/>
          <w:marRight w:val="0"/>
          <w:marTop w:val="0"/>
          <w:marBottom w:val="0"/>
          <w:divBdr>
            <w:top w:val="none" w:sz="0" w:space="0" w:color="auto"/>
            <w:left w:val="none" w:sz="0" w:space="0" w:color="auto"/>
            <w:bottom w:val="none" w:sz="0" w:space="0" w:color="auto"/>
            <w:right w:val="none" w:sz="0" w:space="0" w:color="auto"/>
          </w:divBdr>
          <w:divsChild>
            <w:div w:id="376121707">
              <w:marLeft w:val="0"/>
              <w:marRight w:val="0"/>
              <w:marTop w:val="0"/>
              <w:marBottom w:val="0"/>
              <w:divBdr>
                <w:top w:val="none" w:sz="0" w:space="0" w:color="auto"/>
                <w:left w:val="none" w:sz="0" w:space="0" w:color="auto"/>
                <w:bottom w:val="none" w:sz="0" w:space="0" w:color="auto"/>
                <w:right w:val="none" w:sz="0" w:space="0" w:color="auto"/>
              </w:divBdr>
              <w:divsChild>
                <w:div w:id="4790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4283</Words>
  <Characters>24415</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2017-06-02T13:21:00Z</dcterms:created>
  <dcterms:modified xsi:type="dcterms:W3CDTF">2017-06-02T13:21:00Z</dcterms:modified>
</cp:coreProperties>
</file>