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A9" w:rsidRDefault="001828A9" w:rsidP="001828A9">
      <w:pPr>
        <w:rPr>
          <w:rFonts w:eastAsia="Times New Roman"/>
        </w:rPr>
      </w:pPr>
    </w:p>
    <w:p w:rsidR="001828A9" w:rsidRDefault="001828A9" w:rsidP="001828A9">
      <w:pPr>
        <w:pStyle w:val="Balk1"/>
        <w:rPr>
          <w:rFonts w:eastAsia="Times New Roman"/>
        </w:rPr>
      </w:pPr>
      <w:r>
        <w:rPr>
          <w:rFonts w:eastAsia="Times New Roman"/>
        </w:rPr>
        <w:t>2015 Yılında Uygulanacak İdari Para Cezalarına İlişkin Açıklama</w:t>
      </w:r>
    </w:p>
    <w:p w:rsidR="001828A9" w:rsidRDefault="001828A9" w:rsidP="001828A9">
      <w:pPr>
        <w:rPr>
          <w:rFonts w:eastAsia="Times New Roman"/>
        </w:rPr>
      </w:pPr>
    </w:p>
    <w:p w:rsidR="001828A9" w:rsidRDefault="001828A9" w:rsidP="001828A9">
      <w:pPr>
        <w:jc w:val="both"/>
        <w:rPr>
          <w:rFonts w:eastAsia="Times New Roman"/>
        </w:rPr>
      </w:pPr>
      <w:r>
        <w:rPr>
          <w:rStyle w:val="Gl"/>
          <w:rFonts w:eastAsia="Times New Roman"/>
        </w:rPr>
        <w:t xml:space="preserve">6102 SAYILI TÜRK TİCARET KANUNU'NDA KABAHAT OLARAK TANIMLANAN FİİLLER KARŞILIĞINDA 2015 YILINDA UYGULANACAK İDARİ PARA CEZALARI </w:t>
      </w:r>
      <w:r>
        <w:rPr>
          <w:rFonts w:eastAsia="Times New Roman"/>
        </w:rPr>
        <w:br/>
        <w:t>Bakanlığımız Rehberlik ve Teftiş Başkanlığına teftiş, inceleme ve soruşturma görevlerinin yanında rehberlik görevi de verilmiştir. Bu görev kapsamında aşağıdaki açıklamaların yapılmasının yararlı olacağı değerlendirilmiştir.</w:t>
      </w:r>
      <w:r>
        <w:rPr>
          <w:rFonts w:eastAsia="Times New Roman"/>
        </w:rPr>
        <w:br/>
        <w:t xml:space="preserve">Bilindiği üzere, </w:t>
      </w:r>
      <w:proofErr w:type="gramStart"/>
      <w:r>
        <w:rPr>
          <w:rFonts w:eastAsia="Times New Roman"/>
        </w:rPr>
        <w:t>1/7/2012</w:t>
      </w:r>
      <w:proofErr w:type="gramEnd"/>
      <w:r>
        <w:rPr>
          <w:rFonts w:eastAsia="Times New Roman"/>
        </w:rPr>
        <w:t xml:space="preserve"> tarihinde yürürlüğe giren 13/1/2011 tarihli ve 6102 sayılı Türk Ticaret Kanunu’nun; 38’inci maddesinin birinci fıkrasında, 51’inci maddesinin ikinci fıkrasında, 562’nci maddesinin birinci ve ikinci fıkralarında düzenlenmiş olan idari para cezaları, 5326 sayılı Kabahatler Kanunu’nun 17’nci maddesinin yedinci fıkrası uyarınca her yıl yeniden değerleme oranı esas alınarak artırılarak uygulanmaktadır.</w:t>
      </w:r>
      <w:r>
        <w:rPr>
          <w:rFonts w:eastAsia="Times New Roman"/>
        </w:rPr>
        <w:br/>
        <w:t> </w:t>
      </w:r>
      <w:r>
        <w:rPr>
          <w:rFonts w:eastAsia="Times New Roman"/>
        </w:rPr>
        <w:br/>
      </w:r>
      <w:proofErr w:type="gramStart"/>
      <w:r>
        <w:rPr>
          <w:rFonts w:eastAsia="Times New Roman"/>
        </w:rPr>
        <w:t>15/11/2014</w:t>
      </w:r>
      <w:proofErr w:type="gramEnd"/>
      <w:r>
        <w:rPr>
          <w:rFonts w:eastAsia="Times New Roman"/>
        </w:rPr>
        <w:t xml:space="preserve"> tarihli ve 29176 sayılı Resmî </w:t>
      </w:r>
      <w:proofErr w:type="spellStart"/>
      <w:r>
        <w:rPr>
          <w:rFonts w:eastAsia="Times New Roman"/>
        </w:rPr>
        <w:t>Gazete’de</w:t>
      </w:r>
      <w:proofErr w:type="spellEnd"/>
      <w:r>
        <w:rPr>
          <w:rFonts w:eastAsia="Times New Roman"/>
        </w:rPr>
        <w:t xml:space="preserve"> yayımlanan 441 sıra no.lu Vergi Usul Kanunu Genel Tebliği’ne göre; 2014 yılı için yeniden değerleme oranı </w:t>
      </w:r>
      <w:r>
        <w:rPr>
          <w:rStyle w:val="Gl"/>
          <w:rFonts w:eastAsia="Times New Roman"/>
        </w:rPr>
        <w:t>% 10,11</w:t>
      </w:r>
      <w:r>
        <w:rPr>
          <w:rFonts w:eastAsia="Times New Roman"/>
        </w:rPr>
        <w:t xml:space="preserve"> (on virgül </w:t>
      </w:r>
      <w:proofErr w:type="spellStart"/>
      <w:r>
        <w:rPr>
          <w:rFonts w:eastAsia="Times New Roman"/>
        </w:rPr>
        <w:t>onbir</w:t>
      </w:r>
      <w:proofErr w:type="spellEnd"/>
      <w:r>
        <w:rPr>
          <w:rFonts w:eastAsia="Times New Roman"/>
        </w:rPr>
        <w:t xml:space="preserve">) olarak tespit edilmiştir. Bu oran esas alınarak </w:t>
      </w:r>
      <w:proofErr w:type="gramStart"/>
      <w:r>
        <w:rPr>
          <w:rFonts w:eastAsia="Times New Roman"/>
        </w:rPr>
        <w:t>1/1/2015</w:t>
      </w:r>
      <w:proofErr w:type="gramEnd"/>
      <w:r>
        <w:rPr>
          <w:rFonts w:eastAsia="Times New Roman"/>
        </w:rPr>
        <w:t>-31/12/2015 döneminde uygulanacak idari para cezaları hesaplanmış ve aşağıdaki tabloda gösterilmiştir.</w:t>
      </w:r>
      <w:r>
        <w:rPr>
          <w:rFonts w:eastAsia="Times New Roman"/>
        </w:rPr>
        <w:br/>
        <w:t> </w:t>
      </w:r>
    </w:p>
    <w:tbl>
      <w:tblPr>
        <w:tblW w:w="93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1275"/>
        <w:gridCol w:w="1275"/>
        <w:gridCol w:w="1275"/>
        <w:gridCol w:w="1410"/>
      </w:tblGrid>
      <w:tr w:rsidR="001828A9" w:rsidTr="001828A9">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Fonts w:eastAsia="Times New Roman"/>
              </w:rPr>
              <w:t>6102 sayılı Türk Ticaret Kanunu’nun;</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2013</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2014</w:t>
            </w:r>
          </w:p>
        </w:tc>
        <w:tc>
          <w:tcPr>
            <w:tcW w:w="141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2015</w:t>
            </w:r>
          </w:p>
        </w:tc>
      </w:tr>
      <w:tr w:rsidR="001828A9" w:rsidTr="001828A9">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Fonts w:eastAsia="Times New Roman"/>
              </w:rPr>
              <w:t>38’inci maddesinin birinci fıkrasındaki ceza miktarı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2.000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2.156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2.240 TL</w:t>
            </w:r>
          </w:p>
        </w:tc>
        <w:tc>
          <w:tcPr>
            <w:tcW w:w="141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2.466 TL</w:t>
            </w:r>
          </w:p>
        </w:tc>
      </w:tr>
      <w:tr w:rsidR="001828A9" w:rsidTr="001828A9">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Fonts w:eastAsia="Times New Roman"/>
              </w:rPr>
              <w:t>51’inci maddesinin ikinci fıkrasındaki ceza miktarı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2.000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2.156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2.240 TL</w:t>
            </w:r>
          </w:p>
        </w:tc>
        <w:tc>
          <w:tcPr>
            <w:tcW w:w="141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2.466 TL</w:t>
            </w:r>
          </w:p>
        </w:tc>
      </w:tr>
      <w:tr w:rsidR="001828A9" w:rsidTr="001828A9">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Fonts w:eastAsia="Times New Roman"/>
              </w:rPr>
              <w:t>562’nci maddesinin birinci ve ikinci fıkralarındaki ceza miktarı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4.000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4.312 TL</w:t>
            </w:r>
          </w:p>
        </w:tc>
        <w:tc>
          <w:tcPr>
            <w:tcW w:w="1275"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4.481 TL</w:t>
            </w:r>
          </w:p>
        </w:tc>
        <w:tc>
          <w:tcPr>
            <w:tcW w:w="1410" w:type="dxa"/>
            <w:tcBorders>
              <w:top w:val="outset" w:sz="6" w:space="0" w:color="auto"/>
              <w:left w:val="outset" w:sz="6" w:space="0" w:color="auto"/>
              <w:bottom w:val="outset" w:sz="6" w:space="0" w:color="auto"/>
              <w:right w:val="outset" w:sz="6" w:space="0" w:color="auto"/>
            </w:tcBorders>
            <w:vAlign w:val="center"/>
            <w:hideMark/>
          </w:tcPr>
          <w:p w:rsidR="001828A9" w:rsidRDefault="001828A9">
            <w:pPr>
              <w:jc w:val="both"/>
              <w:rPr>
                <w:rFonts w:eastAsia="Times New Roman"/>
              </w:rPr>
            </w:pPr>
            <w:r>
              <w:rPr>
                <w:rStyle w:val="Gl"/>
                <w:rFonts w:eastAsia="Times New Roman"/>
              </w:rPr>
              <w:t>4.934 TL</w:t>
            </w:r>
          </w:p>
        </w:tc>
      </w:tr>
    </w:tbl>
    <w:p w:rsidR="001828A9" w:rsidRDefault="001828A9" w:rsidP="001828A9">
      <w:pPr>
        <w:rPr>
          <w:rFonts w:eastAsia="Times New Roman"/>
        </w:rPr>
      </w:pPr>
      <w:r>
        <w:rPr>
          <w:rFonts w:eastAsia="Times New Roman"/>
        </w:rPr>
        <w:t> </w:t>
      </w:r>
      <w:r>
        <w:rPr>
          <w:rFonts w:eastAsia="Times New Roman"/>
        </w:rPr>
        <w:br/>
        <w:t>Bakanlığımızın görev alanıyla ilgili olarak 6102 sayılı Türk Ticaret Kanunu’nda düzenlenen kabahatlerin neler olduğu ile bu kabahatlerin işlenmesi halinde 2013, 2014 ve 2015 yıllarında hangi tutarda idari para cezasının uygulanacağını içeren detay bilgiler tablo halinde sunulmuştur.</w:t>
      </w:r>
      <w:r>
        <w:rPr>
          <w:rFonts w:eastAsia="Times New Roman"/>
        </w:rPr>
        <w:br/>
      </w:r>
      <w:hyperlink r:id="rId5" w:history="1">
        <w:r>
          <w:rPr>
            <w:rStyle w:val="Kpr"/>
            <w:rFonts w:eastAsia="Times New Roman"/>
          </w:rPr>
          <w:t>http://www.gtb.gov.tr/data/546ca436f293708838c6ac9b/6102%20SAYILI%20T%C3%9CRK%20T%C4%B0CARET%20KANUNU%E2%80%99NDA%20KABAHAT%20OLARAK%20%C4%B0DAR%C4%B0%20PARA%20CEZASI%20TUTARI%20TANIMLANAN%20F%C4%B0%C4%B0LF%C4%B0%C4%B0LLER.pdf</w:t>
        </w:r>
      </w:hyperlink>
    </w:p>
    <w:p w:rsidR="000513DA" w:rsidRDefault="000513DA">
      <w:bookmarkStart w:id="0" w:name="_GoBack"/>
      <w:bookmarkEnd w:id="0"/>
    </w:p>
    <w:sectPr w:rsidR="0005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5A"/>
    <w:rsid w:val="0002577D"/>
    <w:rsid w:val="000513DA"/>
    <w:rsid w:val="001828A9"/>
    <w:rsid w:val="002A34B6"/>
    <w:rsid w:val="00301924"/>
    <w:rsid w:val="003F0ECD"/>
    <w:rsid w:val="00475444"/>
    <w:rsid w:val="00561D5A"/>
    <w:rsid w:val="005956F3"/>
    <w:rsid w:val="00677121"/>
    <w:rsid w:val="008D4DA8"/>
    <w:rsid w:val="0092511C"/>
    <w:rsid w:val="00A6639F"/>
    <w:rsid w:val="00B00A49"/>
    <w:rsid w:val="00B049F3"/>
    <w:rsid w:val="00B2252E"/>
    <w:rsid w:val="00B9766D"/>
    <w:rsid w:val="00DF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A9"/>
    <w:rPr>
      <w:rFonts w:eastAsiaTheme="minorHAnsi"/>
      <w:color w:val="336666"/>
      <w:szCs w:val="24"/>
      <w:lang w:eastAsia="tr-TR"/>
    </w:rPr>
  </w:style>
  <w:style w:type="paragraph" w:styleId="Balk1">
    <w:name w:val="heading 1"/>
    <w:basedOn w:val="Normal"/>
    <w:link w:val="Balk1Char"/>
    <w:uiPriority w:val="9"/>
    <w:qFormat/>
    <w:rsid w:val="001828A9"/>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28A9"/>
    <w:rPr>
      <w:rFonts w:eastAsiaTheme="minorHAnsi"/>
      <w:b/>
      <w:bCs/>
      <w:color w:val="336666"/>
      <w:kern w:val="36"/>
      <w:sz w:val="48"/>
      <w:szCs w:val="48"/>
      <w:lang w:eastAsia="tr-TR"/>
    </w:rPr>
  </w:style>
  <w:style w:type="character" w:styleId="Kpr">
    <w:name w:val="Hyperlink"/>
    <w:basedOn w:val="VarsaylanParagrafYazTipi"/>
    <w:uiPriority w:val="99"/>
    <w:semiHidden/>
    <w:unhideWhenUsed/>
    <w:rsid w:val="001828A9"/>
    <w:rPr>
      <w:color w:val="0000FF"/>
      <w:u w:val="single"/>
    </w:rPr>
  </w:style>
  <w:style w:type="character" w:styleId="Gl">
    <w:name w:val="Strong"/>
    <w:basedOn w:val="VarsaylanParagrafYazTipi"/>
    <w:uiPriority w:val="22"/>
    <w:qFormat/>
    <w:rsid w:val="001828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A9"/>
    <w:rPr>
      <w:rFonts w:eastAsiaTheme="minorHAnsi"/>
      <w:color w:val="336666"/>
      <w:szCs w:val="24"/>
      <w:lang w:eastAsia="tr-TR"/>
    </w:rPr>
  </w:style>
  <w:style w:type="paragraph" w:styleId="Balk1">
    <w:name w:val="heading 1"/>
    <w:basedOn w:val="Normal"/>
    <w:link w:val="Balk1Char"/>
    <w:uiPriority w:val="9"/>
    <w:qFormat/>
    <w:rsid w:val="001828A9"/>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28A9"/>
    <w:rPr>
      <w:rFonts w:eastAsiaTheme="minorHAnsi"/>
      <w:b/>
      <w:bCs/>
      <w:color w:val="336666"/>
      <w:kern w:val="36"/>
      <w:sz w:val="48"/>
      <w:szCs w:val="48"/>
      <w:lang w:eastAsia="tr-TR"/>
    </w:rPr>
  </w:style>
  <w:style w:type="character" w:styleId="Kpr">
    <w:name w:val="Hyperlink"/>
    <w:basedOn w:val="VarsaylanParagrafYazTipi"/>
    <w:uiPriority w:val="99"/>
    <w:semiHidden/>
    <w:unhideWhenUsed/>
    <w:rsid w:val="001828A9"/>
    <w:rPr>
      <w:color w:val="0000FF"/>
      <w:u w:val="single"/>
    </w:rPr>
  </w:style>
  <w:style w:type="character" w:styleId="Gl">
    <w:name w:val="Strong"/>
    <w:basedOn w:val="VarsaylanParagrafYazTipi"/>
    <w:uiPriority w:val="22"/>
    <w:qFormat/>
    <w:rsid w:val="00182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tb.gov.tr/data/546ca436f293708838c6ac9b/6102%20SAYILI%20T%C3%9CRK%20T%C4%B0CARET%20KANUNU%E2%80%99NDA%20KABAHAT%20OLARAK%20%C4%B0DAR%C4%B0%20PARA%20CEZASI%20TUTARI%20TANIMLANAN%20F%C4%B0%C4%B0LF%C4%B0%C4%B0LLER.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2</cp:revision>
  <dcterms:created xsi:type="dcterms:W3CDTF">2014-11-20T09:04:00Z</dcterms:created>
  <dcterms:modified xsi:type="dcterms:W3CDTF">2014-11-20T09:04:00Z</dcterms:modified>
</cp:coreProperties>
</file>