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A6A4" w14:textId="77777777" w:rsidR="00556A85" w:rsidRDefault="00556A85" w:rsidP="002E1FA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FA5">
        <w:rPr>
          <w:rFonts w:ascii="Times New Roman" w:hAnsi="Times New Roman" w:cs="Times New Roman"/>
          <w:b/>
          <w:color w:val="FF0000"/>
          <w:sz w:val="24"/>
          <w:szCs w:val="24"/>
        </w:rPr>
        <w:t>KANADA</w:t>
      </w:r>
      <w:r w:rsidR="002E1FA5" w:rsidRPr="002E1FA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2E1F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ÇİN VE VİETNAM’</w:t>
      </w:r>
      <w:r w:rsidR="002E1FA5" w:rsidRPr="002E1F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DAN İTHAL EDİLEN BELİRLİ </w:t>
      </w:r>
      <w:r w:rsidRPr="002E1FA5">
        <w:rPr>
          <w:rFonts w:ascii="Times New Roman" w:hAnsi="Times New Roman" w:cs="Times New Roman"/>
          <w:b/>
          <w:color w:val="FF0000"/>
          <w:sz w:val="24"/>
          <w:szCs w:val="24"/>
        </w:rPr>
        <w:t>MOBİLYA ÜRÜNLERİNDE</w:t>
      </w:r>
      <w:r w:rsidR="002E1FA5" w:rsidRPr="002E1F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DAMPING VE SÜBVANSİYON </w:t>
      </w:r>
      <w:r w:rsidR="002E1F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MARJLARI </w:t>
      </w:r>
      <w:r w:rsidR="002E1FA5" w:rsidRPr="002E1FA5">
        <w:rPr>
          <w:rFonts w:ascii="Times New Roman" w:hAnsi="Times New Roman" w:cs="Times New Roman"/>
          <w:b/>
          <w:color w:val="FF0000"/>
          <w:sz w:val="24"/>
          <w:szCs w:val="24"/>
        </w:rPr>
        <w:t>TESPİT ETTİ</w:t>
      </w:r>
    </w:p>
    <w:p w14:paraId="6BADD0B2" w14:textId="77777777" w:rsidR="00803447" w:rsidRPr="00803447" w:rsidRDefault="00803447" w:rsidP="00803447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803447">
        <w:rPr>
          <w:rFonts w:ascii="Times New Roman" w:hAnsi="Times New Roman" w:cs="Times New Roman"/>
          <w:sz w:val="24"/>
          <w:szCs w:val="24"/>
        </w:rPr>
        <w:t xml:space="preserve">Ottava </w:t>
      </w:r>
      <w:proofErr w:type="spellStart"/>
      <w:r w:rsidRPr="00803447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Pr="00803447">
        <w:rPr>
          <w:rFonts w:ascii="Times New Roman" w:hAnsi="Times New Roman" w:cs="Times New Roman"/>
          <w:sz w:val="24"/>
          <w:szCs w:val="24"/>
        </w:rPr>
        <w:t xml:space="preserve"> Müşavirliği</w:t>
      </w:r>
      <w:r w:rsidR="004431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Mayıs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62C24D1" w14:textId="77777777" w:rsidR="004D1D97" w:rsidRDefault="000E7E7F" w:rsidP="000E7E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E7F">
        <w:rPr>
          <w:rFonts w:ascii="Times New Roman" w:hAnsi="Times New Roman" w:cs="Times New Roman"/>
          <w:b/>
          <w:sz w:val="24"/>
          <w:szCs w:val="24"/>
        </w:rPr>
        <w:t>Kanada</w:t>
      </w:r>
      <w:proofErr w:type="spellEnd"/>
      <w:r w:rsidRPr="000E7E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b/>
          <w:sz w:val="24"/>
          <w:szCs w:val="24"/>
        </w:rPr>
        <w:t>Sınır</w:t>
      </w:r>
      <w:proofErr w:type="spellEnd"/>
      <w:r w:rsidRPr="000E7E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b/>
          <w:sz w:val="24"/>
          <w:szCs w:val="24"/>
        </w:rPr>
        <w:t>Hizmetleri</w:t>
      </w:r>
      <w:proofErr w:type="spellEnd"/>
      <w:r w:rsidRPr="000E7E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b/>
          <w:sz w:val="24"/>
          <w:szCs w:val="24"/>
        </w:rPr>
        <w:t>Kurumu</w:t>
      </w:r>
      <w:proofErr w:type="spellEnd"/>
      <w:r w:rsidRPr="000E7E7F">
        <w:rPr>
          <w:rFonts w:ascii="Times New Roman" w:hAnsi="Times New Roman" w:cs="Times New Roman"/>
          <w:b/>
          <w:sz w:val="24"/>
          <w:szCs w:val="24"/>
        </w:rPr>
        <w:t xml:space="preserve"> (CBSA)</w:t>
      </w:r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20</w:t>
      </w:r>
      <w:r w:rsidR="00803447">
        <w:rPr>
          <w:rFonts w:ascii="Times New Roman" w:hAnsi="Times New Roman" w:cs="Times New Roman"/>
          <w:sz w:val="24"/>
          <w:szCs w:val="24"/>
        </w:rPr>
        <w:t>21</w:t>
      </w:r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7E7F">
        <w:rPr>
          <w:rFonts w:ascii="Times New Roman" w:hAnsi="Times New Roman" w:cs="Times New Roman"/>
          <w:sz w:val="24"/>
          <w:szCs w:val="24"/>
        </w:rPr>
        <w:t>bildirimde</w:t>
      </w:r>
      <w:proofErr w:type="spellEnd"/>
      <w:r w:rsidR="004D1D9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68D2BFB" w14:textId="77777777" w:rsidR="000E7E7F" w:rsidRDefault="000E7E7F" w:rsidP="005652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221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İthalat</w:t>
      </w:r>
      <w:proofErr w:type="spellEnd"/>
      <w:r w:rsidRPr="00565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Önlemleri</w:t>
      </w:r>
      <w:proofErr w:type="spellEnd"/>
      <w:r w:rsidRPr="00565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Yasası’nın</w:t>
      </w:r>
      <w:proofErr w:type="spellEnd"/>
      <w:r w:rsidRPr="00565221">
        <w:rPr>
          <w:rFonts w:ascii="Times New Roman" w:hAnsi="Times New Roman" w:cs="Times New Roman"/>
          <w:b/>
          <w:sz w:val="24"/>
          <w:szCs w:val="24"/>
        </w:rPr>
        <w:t xml:space="preserve"> (Special Import Measures Act-SIMA) 38(1)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maddesine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Çin</w:t>
      </w:r>
      <w:proofErr w:type="spellEnd"/>
      <w:r w:rsidRPr="00565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565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Vietnam’dan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ithal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edilen</w:t>
      </w:r>
      <w:proofErr w:type="spellEnd"/>
      <w:r w:rsidRPr="00565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oturmaya</w:t>
      </w:r>
      <w:proofErr w:type="spellEnd"/>
      <w:r w:rsidRPr="00565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mahsus</w:t>
      </w:r>
      <w:proofErr w:type="spellEnd"/>
      <w:r w:rsidRPr="00565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içleri</w:t>
      </w:r>
      <w:proofErr w:type="spellEnd"/>
      <w:r w:rsidRPr="00565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doldurulmuş</w:t>
      </w:r>
      <w:proofErr w:type="spellEnd"/>
      <w:r w:rsidRPr="00565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65221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56522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kaplanmış</w:t>
      </w:r>
      <w:proofErr w:type="spellEnd"/>
      <w:proofErr w:type="gramEnd"/>
      <w:r w:rsidRPr="00565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nitelikte</w:t>
      </w:r>
      <w:proofErr w:type="spellEnd"/>
      <w:r w:rsidRPr="00565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olan</w:t>
      </w:r>
      <w:proofErr w:type="spellEnd"/>
      <w:r w:rsidRPr="00565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belirli</w:t>
      </w:r>
      <w:proofErr w:type="spellEnd"/>
      <w:r w:rsidRPr="00565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mobilyalarda</w:t>
      </w:r>
      <w:proofErr w:type="spellEnd"/>
      <w:r w:rsidRPr="00565221">
        <w:rPr>
          <w:rFonts w:ascii="Times New Roman" w:hAnsi="Times New Roman" w:cs="Times New Roman"/>
          <w:b/>
          <w:sz w:val="24"/>
          <w:szCs w:val="24"/>
        </w:rPr>
        <w:t>,</w:t>
      </w:r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belirlemelere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firmalar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oranlarda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r w:rsidRPr="00565221">
        <w:rPr>
          <w:rFonts w:ascii="Times New Roman" w:hAnsi="Times New Roman" w:cs="Times New Roman"/>
          <w:b/>
          <w:sz w:val="24"/>
          <w:szCs w:val="24"/>
        </w:rPr>
        <w:t xml:space="preserve">damping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565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b/>
          <w:sz w:val="24"/>
          <w:szCs w:val="24"/>
        </w:rPr>
        <w:t>sübvansiyon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tespit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edildiği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DD3604" w14:textId="77777777" w:rsidR="00565221" w:rsidRDefault="00565221" w:rsidP="00565221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1"/>
        <w:gridCol w:w="1830"/>
        <w:gridCol w:w="1888"/>
        <w:gridCol w:w="2030"/>
      </w:tblGrid>
      <w:tr w:rsidR="00565221" w:rsidRPr="00565221" w14:paraId="0899E4E7" w14:textId="77777777" w:rsidTr="00565221">
        <w:trPr>
          <w:tblHeader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E1EA1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 margins of dumping, estimated amounts of subsidy and provisional duties</w:t>
            </w:r>
          </w:p>
        </w:tc>
      </w:tr>
      <w:tr w:rsidR="00565221" w:rsidRPr="00565221" w14:paraId="620723EF" w14:textId="77777777" w:rsidTr="00565221">
        <w:trPr>
          <w:trHeight w:val="1024"/>
          <w:tblHeader/>
          <w:jc w:val="center"/>
        </w:trPr>
        <w:tc>
          <w:tcPr>
            <w:tcW w:w="389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EF204D" w14:textId="77777777" w:rsidR="00565221" w:rsidRPr="00565221" w:rsidRDefault="00565221" w:rsidP="00565221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Exporter</w:t>
            </w:r>
          </w:p>
        </w:tc>
        <w:tc>
          <w:tcPr>
            <w:tcW w:w="183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B6EE27" w14:textId="77777777" w:rsidR="00565221" w:rsidRPr="00565221" w:rsidRDefault="00565221" w:rsidP="00565221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 margin of dumping</w:t>
            </w:r>
            <w:r w:rsidRPr="0056522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DB599C" w14:textId="77777777" w:rsidR="00565221" w:rsidRPr="00565221" w:rsidRDefault="00565221" w:rsidP="00565221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 amount of subsidy</w:t>
            </w:r>
            <w:r w:rsidRPr="0056522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3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0990DC" w14:textId="77777777" w:rsidR="00565221" w:rsidRPr="00565221" w:rsidRDefault="00565221" w:rsidP="00565221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provisional duties payable</w:t>
            </w:r>
            <w:r w:rsidRPr="0056522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565221" w:rsidRPr="00565221" w14:paraId="0ED204D0" w14:textId="77777777" w:rsidTr="00565221">
        <w:trPr>
          <w:jc w:val="center"/>
        </w:trPr>
        <w:tc>
          <w:tcPr>
            <w:tcW w:w="963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A63C3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b/>
                <w:sz w:val="24"/>
                <w:szCs w:val="24"/>
              </w:rPr>
              <w:t>China</w:t>
            </w:r>
          </w:p>
        </w:tc>
      </w:tr>
      <w:tr w:rsidR="00565221" w:rsidRPr="00565221" w14:paraId="3537B62C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F524A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Anji Cozy Home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4B99A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40.54%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0FED3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1.58%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C88C4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42.12%</w:t>
            </w:r>
          </w:p>
        </w:tc>
      </w:tr>
      <w:tr w:rsidR="00565221" w:rsidRPr="00565221" w14:paraId="7D3FD3CD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49033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Anji </w:t>
            </w: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Shengxing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Office Furniture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CC2AE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206.36%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551FF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20.09%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773BC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226.45%</w:t>
            </w:r>
          </w:p>
        </w:tc>
      </w:tr>
      <w:tr w:rsidR="00565221" w:rsidRPr="00565221" w14:paraId="2BB6255C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D5DE1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Dongguan </w:t>
            </w: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Tianhang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Furniture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744B2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41.09%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35732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0.15%</w:t>
            </w:r>
            <w:r w:rsidRPr="00565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52701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41.09%</w:t>
            </w:r>
          </w:p>
        </w:tc>
      </w:tr>
      <w:tr w:rsidR="00565221" w:rsidRPr="00565221" w14:paraId="1EEBC172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405A7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Foshan DOB Furniture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9993B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206.36%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843CE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0.48%</w:t>
            </w:r>
            <w:r w:rsidRPr="00565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DE15E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206.36%</w:t>
            </w:r>
          </w:p>
        </w:tc>
      </w:tr>
      <w:tr w:rsidR="00565221" w:rsidRPr="00565221" w14:paraId="169840B0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8F446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Haining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Nicelink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Home Furnishings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014AC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11.01%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5CBE7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40.77%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BFFFD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51.78%</w:t>
            </w:r>
          </w:p>
        </w:tc>
      </w:tr>
      <w:tr w:rsidR="00565221" w:rsidRPr="00565221" w14:paraId="1F7B505C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6671E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HaiNing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Happy Leather Furniture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ED92B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206.36%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E1657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4.51%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C11FF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210.87%</w:t>
            </w:r>
          </w:p>
        </w:tc>
      </w:tr>
      <w:tr w:rsidR="00565221" w:rsidRPr="00565221" w14:paraId="11D02ABF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6A27A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Zhejiang Happy Smart Furnishings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3FFFB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206.36%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01BF8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5.94%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DE67D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212.30%</w:t>
            </w:r>
          </w:p>
        </w:tc>
      </w:tr>
      <w:tr w:rsidR="00565221" w:rsidRPr="00565221" w14:paraId="20A823CB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492FC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Anji </w:t>
            </w: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Hengrui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Furniture </w:t>
            </w:r>
            <w:proofErr w:type="spellStart"/>
            <w:proofErr w:type="gram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Co.,Ltd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7D731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70.23%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74034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  <w:r w:rsidRPr="00565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6D6B9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70.23%</w:t>
            </w:r>
          </w:p>
        </w:tc>
      </w:tr>
      <w:tr w:rsidR="00565221" w:rsidRPr="00565221" w14:paraId="73DC5B83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1D924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Anji </w:t>
            </w: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Hengyi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Furniture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43556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32.25%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EF671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  <w:r w:rsidRPr="00565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10A7E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32.25%</w:t>
            </w:r>
          </w:p>
        </w:tc>
      </w:tr>
      <w:tr w:rsidR="00565221" w:rsidRPr="00565221" w14:paraId="0E3D3A61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FA553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Henglin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Home Furnishings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6615A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38.16%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1B1BA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2.28%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C2C53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40.44%</w:t>
            </w:r>
          </w:p>
        </w:tc>
      </w:tr>
      <w:tr w:rsidR="00565221" w:rsidRPr="00565221" w14:paraId="4635C6A8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566FD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HHC Changzhou Corp.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CEA41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39.19%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37A23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1.52%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13EDE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40.71%</w:t>
            </w:r>
          </w:p>
        </w:tc>
      </w:tr>
      <w:tr w:rsidR="00565221" w:rsidRPr="00565221" w14:paraId="488F0D6F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2E630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HTL Furniture (China)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57A09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58.38%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76064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0.08%</w:t>
            </w:r>
            <w:r w:rsidRPr="00565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9D436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58.38%</w:t>
            </w:r>
          </w:p>
        </w:tc>
      </w:tr>
      <w:tr w:rsidR="00565221" w:rsidRPr="00565221" w14:paraId="1050C063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331CB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HTL Furniture (</w:t>
            </w: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Huai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)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A03C0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58.76%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EAFC5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1.44%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9FC4D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60.20%</w:t>
            </w:r>
          </w:p>
        </w:tc>
      </w:tr>
      <w:tr w:rsidR="00565221" w:rsidRPr="00565221" w14:paraId="32EB48CB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1421A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Jiaxing Motion Furniture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19266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206.36%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A1A50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0.81%</w:t>
            </w:r>
            <w:r w:rsidRPr="00565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03EF1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206.36%</w:t>
            </w:r>
          </w:p>
        </w:tc>
      </w:tr>
      <w:tr w:rsidR="00565221" w:rsidRPr="00565221" w14:paraId="4141A973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451CB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Jason Furniture (Hangzhou)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280A5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47.87%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E1C5C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8.84%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2D27C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56.71%</w:t>
            </w:r>
          </w:p>
        </w:tc>
      </w:tr>
      <w:tr w:rsidR="00565221" w:rsidRPr="00565221" w14:paraId="15FAFC6F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E88C8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Gu Jia Intelligent Household Jiaxing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218A1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33.07%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7A643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4.63%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24702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37.70%</w:t>
            </w:r>
          </w:p>
        </w:tc>
      </w:tr>
      <w:tr w:rsidR="00565221" w:rsidRPr="00565221" w14:paraId="038DF9AE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2E698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Zhejiang Kuka Merlin Furniture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53EDE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26.70%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9A8D6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9.08%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ED994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35.78%</w:t>
            </w:r>
          </w:p>
        </w:tc>
      </w:tr>
      <w:tr w:rsidR="00565221" w:rsidRPr="00565221" w14:paraId="4B50D617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045CD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Megain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Furniture (Dong Guan)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2AF27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206.36%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63160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2.21%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11149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208.57%</w:t>
            </w:r>
          </w:p>
        </w:tc>
      </w:tr>
      <w:tr w:rsidR="00565221" w:rsidRPr="00565221" w14:paraId="666AE49B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20F83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Natuzzi (China)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A08A7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206.36%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AD673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1.13%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19CD7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207.49%</w:t>
            </w:r>
          </w:p>
        </w:tc>
      </w:tr>
      <w:tr w:rsidR="00565221" w:rsidRPr="00565221" w14:paraId="12E73924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0FBEE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Suzhou </w:t>
            </w: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Yimei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Furniture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DA956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206.36%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613D9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1.93%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429DF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208.29%</w:t>
            </w:r>
          </w:p>
        </w:tc>
      </w:tr>
      <w:tr w:rsidR="00565221" w:rsidRPr="00565221" w14:paraId="2463F41C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7C78F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Taizhou Delancey Street Furniture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F9C9B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50.77%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7B01E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89.54%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C1F26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140.31%</w:t>
            </w:r>
          </w:p>
        </w:tc>
      </w:tr>
      <w:tr w:rsidR="00565221" w:rsidRPr="00565221" w14:paraId="2104F45A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8A107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Anji UES Furniture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64EA0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84.37%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33C18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0.59%</w:t>
            </w:r>
            <w:r w:rsidRPr="00565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55B1C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84.37%</w:t>
            </w:r>
          </w:p>
        </w:tc>
      </w:tr>
      <w:tr w:rsidR="00565221" w:rsidRPr="00565221" w14:paraId="5FD74F0F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ED67E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UE Furniture Co., Ltd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789A5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68.88%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87208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3.34%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B76BE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72.22%</w:t>
            </w:r>
          </w:p>
        </w:tc>
      </w:tr>
      <w:tr w:rsidR="00565221" w:rsidRPr="00565221" w14:paraId="78E97FA2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0CBFD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Vanguard Industrial </w:t>
            </w: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JiaXing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E8512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58.37%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3ED6B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1.74%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7C83C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60.11%</w:t>
            </w:r>
          </w:p>
        </w:tc>
      </w:tr>
      <w:tr w:rsidR="00565221" w:rsidRPr="00565221" w14:paraId="71A57362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261E3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Violino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Furniture (Shenzhen)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21B02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20.65%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2D186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0.14%</w:t>
            </w:r>
            <w:r w:rsidRPr="00565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CEB8E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20.65%</w:t>
            </w:r>
          </w:p>
        </w:tc>
      </w:tr>
      <w:tr w:rsidR="00565221" w:rsidRPr="00565221" w14:paraId="4DBED616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87DC5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Zhejiang </w:t>
            </w: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Botai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Furniture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DE27B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206.36%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66287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8.28%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E8059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214.64%</w:t>
            </w:r>
          </w:p>
        </w:tc>
      </w:tr>
      <w:tr w:rsidR="00565221" w:rsidRPr="00565221" w14:paraId="6AF153A3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7D84B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Zhejiang </w:t>
            </w: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Chuanyang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Furniture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187F7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50.63%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9FCF4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0.69%</w:t>
            </w:r>
            <w:r w:rsidRPr="00565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9D79C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50.63%</w:t>
            </w:r>
          </w:p>
        </w:tc>
      </w:tr>
      <w:tr w:rsidR="00565221" w:rsidRPr="00565221" w14:paraId="6CEE1AD2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2777F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Zoy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Home Furnishing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108A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206.36%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A49F6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1.83%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43551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208.19%</w:t>
            </w:r>
          </w:p>
        </w:tc>
      </w:tr>
      <w:tr w:rsidR="00565221" w:rsidRPr="00565221" w14:paraId="00383B6B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7E58D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All other exporters—China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DFE0E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206.36%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842E5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89.54%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AFC91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295.90%</w:t>
            </w:r>
          </w:p>
        </w:tc>
      </w:tr>
      <w:tr w:rsidR="00565221" w:rsidRPr="00565221" w14:paraId="6ED9D379" w14:textId="77777777" w:rsidTr="00565221">
        <w:trPr>
          <w:jc w:val="center"/>
        </w:trPr>
        <w:tc>
          <w:tcPr>
            <w:tcW w:w="963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C36AA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b/>
                <w:sz w:val="24"/>
                <w:szCs w:val="24"/>
              </w:rPr>
              <w:t>Vietnam</w:t>
            </w:r>
          </w:p>
        </w:tc>
      </w:tr>
      <w:tr w:rsidR="00565221" w:rsidRPr="00565221" w14:paraId="161F5985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2CE9F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Delancey Street Furniture Vietnam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D7643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89.77%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ED3A4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  <w:r w:rsidRPr="00565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9F241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89.77%</w:t>
            </w:r>
          </w:p>
        </w:tc>
      </w:tr>
      <w:tr w:rsidR="00565221" w:rsidRPr="00565221" w14:paraId="2F86B044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9F5BE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Timberland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55D3B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89.77%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666CB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  <w:r w:rsidRPr="00565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242BA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89.77%</w:t>
            </w:r>
          </w:p>
        </w:tc>
      </w:tr>
      <w:tr w:rsidR="00565221" w:rsidRPr="00565221" w14:paraId="02682F25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4DA3F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Motomotion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Vietnam Limited Company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58FE8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34.98%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E9C23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  <w:r w:rsidRPr="00565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8B0ED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34.98%</w:t>
            </w:r>
          </w:p>
        </w:tc>
      </w:tr>
      <w:tr w:rsidR="00565221" w:rsidRPr="00565221" w14:paraId="440390EB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55703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UE Vietnam Co., Ltd.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80440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89.77%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7C852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  <w:r w:rsidRPr="00565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CA6B0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89.77%</w:t>
            </w:r>
          </w:p>
        </w:tc>
      </w:tr>
      <w:tr w:rsidR="00565221" w:rsidRPr="00565221" w14:paraId="3D54AED2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B5F30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Vietnam Hang </w:t>
            </w: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Furniture Company Limited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F89C9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45.60%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5933A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  <w:r w:rsidRPr="00565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DDC2E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45.60%</w:t>
            </w:r>
          </w:p>
        </w:tc>
      </w:tr>
      <w:tr w:rsidR="00565221" w:rsidRPr="00565221" w14:paraId="06251EFE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38D85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Wendelbo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Interiors A/S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9225A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69.37%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79410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7FA97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69.37%</w:t>
            </w:r>
          </w:p>
        </w:tc>
      </w:tr>
      <w:tr w:rsidR="00565221" w:rsidRPr="00565221" w14:paraId="418740DD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2A939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Wendelbo</w:t>
            </w:r>
            <w:proofErr w:type="spellEnd"/>
            <w:r w:rsidRPr="00565221">
              <w:rPr>
                <w:rFonts w:ascii="Times New Roman" w:hAnsi="Times New Roman" w:cs="Times New Roman"/>
                <w:sz w:val="24"/>
                <w:szCs w:val="24"/>
              </w:rPr>
              <w:t xml:space="preserve"> SEA JSC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2DD54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17.44%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1AF64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  <w:r w:rsidRPr="00565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25AED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17.44%</w:t>
            </w:r>
          </w:p>
        </w:tc>
      </w:tr>
      <w:tr w:rsidR="00565221" w:rsidRPr="00565221" w14:paraId="059F7408" w14:textId="77777777" w:rsidTr="00565221">
        <w:trPr>
          <w:jc w:val="center"/>
        </w:trPr>
        <w:tc>
          <w:tcPr>
            <w:tcW w:w="3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04768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All other exporters—Vietnam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05AEA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89.77%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C9FD7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11.73%</w:t>
            </w:r>
          </w:p>
        </w:tc>
        <w:tc>
          <w:tcPr>
            <w:tcW w:w="2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FD54" w14:textId="77777777" w:rsidR="00565221" w:rsidRPr="00565221" w:rsidRDefault="00565221" w:rsidP="0056522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101.50%</w:t>
            </w:r>
          </w:p>
        </w:tc>
      </w:tr>
      <w:tr w:rsidR="00565221" w:rsidRPr="00565221" w14:paraId="70399A8F" w14:textId="77777777" w:rsidTr="00565221">
        <w:trPr>
          <w:jc w:val="center"/>
        </w:trPr>
        <w:tc>
          <w:tcPr>
            <w:tcW w:w="963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31BB1" w14:textId="77777777" w:rsidR="00565221" w:rsidRPr="00565221" w:rsidRDefault="00565221" w:rsidP="0056522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Expressed as a percentage of export price</w:t>
            </w:r>
          </w:p>
          <w:p w14:paraId="30BA2566" w14:textId="77777777" w:rsidR="00565221" w:rsidRPr="00565221" w:rsidRDefault="00565221" w:rsidP="0056522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65221">
              <w:rPr>
                <w:rFonts w:ascii="Times New Roman" w:hAnsi="Times New Roman" w:cs="Times New Roman"/>
                <w:sz w:val="24"/>
                <w:szCs w:val="24"/>
              </w:rPr>
              <w:t>Where amounts of dumping and/or subsidy are considered insignificant, the investigation will continue but provisional duties will not be payable</w:t>
            </w:r>
          </w:p>
        </w:tc>
      </w:tr>
    </w:tbl>
    <w:p w14:paraId="6CEB5E5A" w14:textId="77777777" w:rsidR="00565221" w:rsidRPr="00B42CEC" w:rsidRDefault="00565221" w:rsidP="00565221">
      <w:pPr>
        <w:pStyle w:val="ListeParagraf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CEC">
        <w:rPr>
          <w:rFonts w:ascii="Times New Roman" w:hAnsi="Times New Roman" w:cs="Times New Roman"/>
          <w:i/>
          <w:sz w:val="24"/>
          <w:szCs w:val="24"/>
        </w:rPr>
        <w:t>Date modified: 2021-05-05</w:t>
      </w:r>
    </w:p>
    <w:p w14:paraId="1C8F8D05" w14:textId="77777777" w:rsidR="00565221" w:rsidRPr="00565221" w:rsidRDefault="00565221" w:rsidP="00565221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21C910" w14:textId="77777777" w:rsidR="000E7E7F" w:rsidRPr="00565221" w:rsidRDefault="004D1D97" w:rsidP="005652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221">
        <w:rPr>
          <w:rFonts w:ascii="Times New Roman" w:hAnsi="Times New Roman" w:cs="Times New Roman"/>
          <w:sz w:val="24"/>
          <w:szCs w:val="24"/>
        </w:rPr>
        <w:t>Soruşturmaya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konu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ürünler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i/>
          <w:sz w:val="24"/>
          <w:szCs w:val="24"/>
        </w:rPr>
        <w:t>y</w:t>
      </w:r>
      <w:r w:rsidR="000E7E7F" w:rsidRPr="00565221">
        <w:rPr>
          <w:rFonts w:ascii="Times New Roman" w:hAnsi="Times New Roman" w:cs="Times New Roman"/>
          <w:i/>
          <w:sz w:val="24"/>
          <w:szCs w:val="24"/>
        </w:rPr>
        <w:t>atak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haline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getirilebilen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oturmaya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mahsus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mobilyalar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kamp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veya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bahçede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kullanılanlar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hariç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) (G.T.P. 9401.40.00.00);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Ahşap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iskeletli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oturmaya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mahsus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diğer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mobilyalar-İçleri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doldurulmuş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kaplanmış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olanlar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(G.T.P. 9401.61.10.10; G.T.P. 9401.61.10.90); Metal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iskeletli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oturmaya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mahsus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diğer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mobilyalar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İçleri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doldurulmuş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kaplanmış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i/>
          <w:sz w:val="24"/>
          <w:szCs w:val="24"/>
        </w:rPr>
        <w:t>olanlar</w:t>
      </w:r>
      <w:proofErr w:type="spellEnd"/>
      <w:r w:rsidR="000E7E7F" w:rsidRPr="00565221">
        <w:rPr>
          <w:rFonts w:ascii="Times New Roman" w:hAnsi="Times New Roman" w:cs="Times New Roman"/>
          <w:i/>
          <w:sz w:val="24"/>
          <w:szCs w:val="24"/>
        </w:rPr>
        <w:t xml:space="preserve"> (G.T.P. 9401.71.10.10; G.T.P.9401.71.10.90)</w:t>
      </w:r>
      <w:r w:rsidR="000E7E7F"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sz w:val="24"/>
          <w:szCs w:val="24"/>
        </w:rPr>
        <w:t>şeklinde</w:t>
      </w:r>
      <w:proofErr w:type="spellEnd"/>
      <w:r w:rsidR="000E7E7F" w:rsidRPr="00565221">
        <w:rPr>
          <w:rFonts w:ascii="Times New Roman" w:hAnsi="Times New Roman" w:cs="Times New Roman"/>
          <w:sz w:val="24"/>
          <w:szCs w:val="24"/>
        </w:rPr>
        <w:t xml:space="preserve"> G.T.P. </w:t>
      </w:r>
      <w:proofErr w:type="spellStart"/>
      <w:r w:rsidR="000E7E7F" w:rsidRPr="00565221">
        <w:rPr>
          <w:rFonts w:ascii="Times New Roman" w:hAnsi="Times New Roman" w:cs="Times New Roman"/>
          <w:sz w:val="24"/>
          <w:szCs w:val="24"/>
        </w:rPr>
        <w:t>numaralarının</w:t>
      </w:r>
      <w:proofErr w:type="spellEnd"/>
      <w:r w:rsidR="000E7E7F"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b/>
          <w:sz w:val="24"/>
          <w:szCs w:val="24"/>
        </w:rPr>
        <w:t>referans</w:t>
      </w:r>
      <w:proofErr w:type="spellEnd"/>
      <w:r w:rsidR="000E7E7F"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0E7E7F"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7E7F" w:rsidRPr="00565221">
        <w:rPr>
          <w:rFonts w:ascii="Times New Roman" w:hAnsi="Times New Roman" w:cs="Times New Roman"/>
          <w:sz w:val="24"/>
          <w:szCs w:val="24"/>
        </w:rPr>
        <w:t>verildiği</w:t>
      </w:r>
      <w:proofErr w:type="spellEnd"/>
      <w:r w:rsidR="000E7E7F" w:rsidRPr="0056522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D2B5943" w14:textId="77777777" w:rsidR="000E7E7F" w:rsidRPr="00565221" w:rsidRDefault="000E7E7F" w:rsidP="005652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221">
        <w:rPr>
          <w:rFonts w:ascii="Times New Roman" w:hAnsi="Times New Roman" w:cs="Times New Roman"/>
          <w:sz w:val="24"/>
          <w:szCs w:val="24"/>
        </w:rPr>
        <w:t>Çin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Vietnam’dan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r w:rsidR="00B42CEC" w:rsidRPr="0056522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B42CEC" w:rsidRPr="00565221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="00B42CEC" w:rsidRPr="00565221">
        <w:rPr>
          <w:rFonts w:ascii="Times New Roman" w:hAnsi="Times New Roman" w:cs="Times New Roman"/>
          <w:sz w:val="24"/>
          <w:szCs w:val="24"/>
        </w:rPr>
        <w:t xml:space="preserve"> 2021</w:t>
      </w:r>
      <w:r w:rsidR="00B4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EC">
        <w:rPr>
          <w:rFonts w:ascii="Times New Roman" w:hAnsi="Times New Roman" w:cs="Times New Roman"/>
          <w:sz w:val="24"/>
          <w:szCs w:val="24"/>
        </w:rPr>
        <w:t>tari</w:t>
      </w:r>
      <w:r w:rsidR="00B42CEC" w:rsidRPr="00565221">
        <w:rPr>
          <w:rFonts w:ascii="Times New Roman" w:hAnsi="Times New Roman" w:cs="Times New Roman"/>
          <w:sz w:val="24"/>
          <w:szCs w:val="24"/>
        </w:rPr>
        <w:t>h</w:t>
      </w:r>
      <w:r w:rsidR="00B42C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E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EC">
        <w:rPr>
          <w:rFonts w:ascii="Times New Roman" w:hAnsi="Times New Roman" w:cs="Times New Roman"/>
          <w:sz w:val="24"/>
          <w:szCs w:val="24"/>
        </w:rPr>
        <w:t>sonrasında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ithal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edilecek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konusu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ürünlere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uygulanacak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geçici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önlem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CEC">
        <w:rPr>
          <w:rFonts w:ascii="Times New Roman" w:hAnsi="Times New Roman" w:cs="Times New Roman"/>
          <w:sz w:val="24"/>
          <w:szCs w:val="24"/>
        </w:rPr>
        <w:t>yukarıda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oranlarda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ilave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vergi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221">
        <w:rPr>
          <w:rFonts w:ascii="Times New Roman" w:hAnsi="Times New Roman" w:cs="Times New Roman"/>
          <w:sz w:val="24"/>
          <w:szCs w:val="24"/>
        </w:rPr>
        <w:t>uygulanacağı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30C08C6" w14:textId="77777777" w:rsidR="000E7E7F" w:rsidRPr="00565221" w:rsidRDefault="000E7E7F" w:rsidP="005652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221">
        <w:rPr>
          <w:rFonts w:ascii="Times New Roman" w:hAnsi="Times New Roman" w:cs="Times New Roman"/>
          <w:sz w:val="24"/>
          <w:szCs w:val="24"/>
        </w:rPr>
        <w:t>Tespit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damping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sübvansiyon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marj</w:t>
      </w:r>
      <w:r w:rsidR="00B42CEC">
        <w:rPr>
          <w:rFonts w:ascii="Times New Roman" w:hAnsi="Times New Roman" w:cs="Times New Roman"/>
          <w:sz w:val="24"/>
          <w:szCs w:val="24"/>
        </w:rPr>
        <w:t>ları</w:t>
      </w:r>
      <w:r w:rsidRPr="00565221">
        <w:rPr>
          <w:rFonts w:ascii="Times New Roman" w:hAnsi="Times New Roman" w:cs="Times New Roman"/>
          <w:sz w:val="24"/>
          <w:szCs w:val="24"/>
        </w:rPr>
        <w:t>n</w:t>
      </w:r>
      <w:r w:rsidR="00B42C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önemsiz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değerde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ol</w:t>
      </w:r>
      <w:r w:rsidR="00B42CEC">
        <w:rPr>
          <w:rFonts w:ascii="Times New Roman" w:hAnsi="Times New Roman" w:cs="Times New Roman"/>
          <w:sz w:val="24"/>
          <w:szCs w:val="24"/>
        </w:rPr>
        <w:t>duğu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EC"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ürünlere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soruşturmaların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edeceği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CEC">
        <w:rPr>
          <w:rFonts w:ascii="Times New Roman" w:hAnsi="Times New Roman" w:cs="Times New Roman"/>
          <w:sz w:val="24"/>
          <w:szCs w:val="24"/>
        </w:rPr>
        <w:t>ancak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E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EC">
        <w:rPr>
          <w:rFonts w:ascii="Times New Roman" w:hAnsi="Times New Roman" w:cs="Times New Roman"/>
          <w:sz w:val="24"/>
          <w:szCs w:val="24"/>
        </w:rPr>
        <w:t>ürünlere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geçici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vergilerin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uygulanmayacağı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bildirilmiştir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97EEE" w14:textId="77777777" w:rsidR="000E7E7F" w:rsidRPr="000E7E7F" w:rsidRDefault="00565221" w:rsidP="000E7E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CEC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EC">
        <w:rPr>
          <w:rFonts w:ascii="Times New Roman" w:hAnsi="Times New Roman" w:cs="Times New Roman"/>
          <w:sz w:val="24"/>
          <w:szCs w:val="24"/>
        </w:rPr>
        <w:t>İstatistik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EC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2CEC">
        <w:rPr>
          <w:rFonts w:ascii="Times New Roman" w:hAnsi="Times New Roman" w:cs="Times New Roman"/>
          <w:sz w:val="24"/>
          <w:szCs w:val="24"/>
        </w:rPr>
        <w:t>StatCan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42CEC">
        <w:rPr>
          <w:rFonts w:ascii="Times New Roman" w:hAnsi="Times New Roman" w:cs="Times New Roman"/>
          <w:sz w:val="24"/>
          <w:szCs w:val="24"/>
        </w:rPr>
        <w:t>verileri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EC">
        <w:rPr>
          <w:rFonts w:ascii="Times New Roman" w:hAnsi="Times New Roman" w:cs="Times New Roman"/>
          <w:sz w:val="24"/>
          <w:szCs w:val="24"/>
        </w:rPr>
        <w:t>incelendiğinde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 xml:space="preserve">, </w:t>
      </w:r>
      <w:r w:rsidR="000E7E7F" w:rsidRPr="00565221">
        <w:rPr>
          <w:rFonts w:ascii="Times New Roman" w:hAnsi="Times New Roman" w:cs="Times New Roman"/>
          <w:b/>
          <w:sz w:val="24"/>
          <w:szCs w:val="24"/>
        </w:rPr>
        <w:t xml:space="preserve">G.T.P. 9401 </w:t>
      </w:r>
      <w:proofErr w:type="spellStart"/>
      <w:r w:rsidR="000E7E7F" w:rsidRPr="00565221">
        <w:rPr>
          <w:rFonts w:ascii="Times New Roman" w:hAnsi="Times New Roman" w:cs="Times New Roman"/>
          <w:b/>
          <w:sz w:val="24"/>
          <w:szCs w:val="24"/>
        </w:rPr>
        <w:t>Oturmaya</w:t>
      </w:r>
      <w:proofErr w:type="spellEnd"/>
      <w:r w:rsidR="000E7E7F" w:rsidRPr="00565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b/>
          <w:sz w:val="24"/>
          <w:szCs w:val="24"/>
        </w:rPr>
        <w:t>Mahsus</w:t>
      </w:r>
      <w:proofErr w:type="spellEnd"/>
      <w:r w:rsidR="000E7E7F" w:rsidRPr="00565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E7F" w:rsidRPr="00565221">
        <w:rPr>
          <w:rFonts w:ascii="Times New Roman" w:hAnsi="Times New Roman" w:cs="Times New Roman"/>
          <w:b/>
          <w:sz w:val="24"/>
          <w:szCs w:val="24"/>
        </w:rPr>
        <w:t>Mobilyalar</w:t>
      </w:r>
      <w:proofErr w:type="spellEnd"/>
      <w:r w:rsidR="000E7E7F"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7E7F" w:rsidRPr="000E7E7F">
        <w:rPr>
          <w:rFonts w:ascii="Times New Roman" w:hAnsi="Times New Roman" w:cs="Times New Roman"/>
          <w:sz w:val="24"/>
          <w:szCs w:val="24"/>
        </w:rPr>
        <w:t>kategorisinde</w:t>
      </w:r>
      <w:proofErr w:type="spellEnd"/>
      <w:r w:rsidR="000E7E7F" w:rsidRPr="000E7E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A47329F" w14:textId="77777777" w:rsidR="000E7E7F" w:rsidRPr="00565221" w:rsidRDefault="000E7E7F" w:rsidP="0056522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221">
        <w:rPr>
          <w:rFonts w:ascii="Times New Roman" w:hAnsi="Times New Roman" w:cs="Times New Roman"/>
          <w:sz w:val="24"/>
          <w:szCs w:val="24"/>
        </w:rPr>
        <w:t>Kanada’nın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dünyadan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ithalatı</w:t>
      </w:r>
      <w:proofErr w:type="spellEnd"/>
      <w:r w:rsidR="00565221" w:rsidRPr="00565221">
        <w:rPr>
          <w:rFonts w:ascii="Times New Roman" w:hAnsi="Times New Roman" w:cs="Times New Roman"/>
          <w:sz w:val="24"/>
          <w:szCs w:val="24"/>
        </w:rPr>
        <w:t>,</w:t>
      </w:r>
      <w:r w:rsidRPr="00565221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yıllarında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sırasıyla</w:t>
      </w:r>
      <w:proofErr w:type="spellEnd"/>
      <w:r w:rsidR="00565221" w:rsidRPr="00565221">
        <w:rPr>
          <w:rFonts w:ascii="Times New Roman" w:hAnsi="Times New Roman" w:cs="Times New Roman"/>
          <w:sz w:val="24"/>
          <w:szCs w:val="24"/>
        </w:rPr>
        <w:t>,</w:t>
      </w:r>
      <w:r w:rsidRPr="0056522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701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milyon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Doları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856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milyon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Doları</w:t>
      </w:r>
      <w:proofErr w:type="spellEnd"/>
      <w:r w:rsidR="00565221" w:rsidRPr="00565221">
        <w:rPr>
          <w:rFonts w:ascii="Times New Roman" w:hAnsi="Times New Roman" w:cs="Times New Roman"/>
          <w:sz w:val="24"/>
          <w:szCs w:val="24"/>
        </w:rPr>
        <w:t>,</w:t>
      </w:r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DE682" w14:textId="77777777" w:rsidR="000E7E7F" w:rsidRPr="00565221" w:rsidRDefault="000E7E7F" w:rsidP="0056522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221">
        <w:rPr>
          <w:rFonts w:ascii="Times New Roman" w:hAnsi="Times New Roman" w:cs="Times New Roman"/>
          <w:sz w:val="24"/>
          <w:szCs w:val="24"/>
        </w:rPr>
        <w:t>Kanada’nın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ithalat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partneri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Çin’den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ithalatı</w:t>
      </w:r>
      <w:proofErr w:type="spellEnd"/>
      <w:r w:rsidR="00565221" w:rsidRPr="00565221">
        <w:rPr>
          <w:rFonts w:ascii="Times New Roman" w:hAnsi="Times New Roman" w:cs="Times New Roman"/>
          <w:sz w:val="24"/>
          <w:szCs w:val="24"/>
        </w:rPr>
        <w:t>,</w:t>
      </w:r>
      <w:r w:rsidRPr="00565221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yıllarında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sırasıyla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494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milyon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Doları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409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milyon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Doları</w:t>
      </w:r>
      <w:proofErr w:type="spellEnd"/>
      <w:r w:rsidR="00565221" w:rsidRPr="00565221">
        <w:rPr>
          <w:rFonts w:ascii="Times New Roman" w:hAnsi="Times New Roman" w:cs="Times New Roman"/>
          <w:sz w:val="24"/>
          <w:szCs w:val="24"/>
        </w:rPr>
        <w:t>,</w:t>
      </w:r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106E2" w14:textId="77777777" w:rsidR="000E7E7F" w:rsidRPr="00565221" w:rsidRDefault="000E7E7F" w:rsidP="0056522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221">
        <w:rPr>
          <w:rFonts w:ascii="Times New Roman" w:hAnsi="Times New Roman" w:cs="Times New Roman"/>
          <w:sz w:val="24"/>
          <w:szCs w:val="24"/>
        </w:rPr>
        <w:lastRenderedPageBreak/>
        <w:t>Kanada’nın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dört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ithalat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partneri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Vietnam’dan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ithalatı</w:t>
      </w:r>
      <w:proofErr w:type="spellEnd"/>
      <w:r w:rsidR="00B42CEC">
        <w:rPr>
          <w:rFonts w:ascii="Times New Roman" w:hAnsi="Times New Roman" w:cs="Times New Roman"/>
          <w:sz w:val="24"/>
          <w:szCs w:val="24"/>
        </w:rPr>
        <w:t>,</w:t>
      </w:r>
      <w:r w:rsidRPr="00565221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yıllarında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sırasıyla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159,5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milyon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Doları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190,9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milyon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Doları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21">
        <w:rPr>
          <w:rFonts w:ascii="Times New Roman" w:hAnsi="Times New Roman" w:cs="Times New Roman"/>
          <w:sz w:val="24"/>
          <w:szCs w:val="24"/>
        </w:rPr>
        <w:t>olmuştur</w:t>
      </w:r>
      <w:proofErr w:type="spellEnd"/>
      <w:r w:rsidRPr="0056522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802" w:type="dxa"/>
        <w:jc w:val="center"/>
        <w:tblLook w:val="04A0" w:firstRow="1" w:lastRow="0" w:firstColumn="1" w:lastColumn="0" w:noHBand="0" w:noVBand="1"/>
      </w:tblPr>
      <w:tblGrid>
        <w:gridCol w:w="439"/>
        <w:gridCol w:w="1148"/>
        <w:gridCol w:w="1643"/>
        <w:gridCol w:w="1643"/>
        <w:gridCol w:w="1643"/>
        <w:gridCol w:w="1643"/>
        <w:gridCol w:w="1643"/>
      </w:tblGrid>
      <w:tr w:rsidR="000E7E7F" w:rsidRPr="000E7E7F" w14:paraId="7D05F9D3" w14:textId="77777777" w:rsidTr="00565221">
        <w:trPr>
          <w:trHeight w:val="570"/>
          <w:jc w:val="center"/>
        </w:trPr>
        <w:tc>
          <w:tcPr>
            <w:tcW w:w="9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D71C" w14:textId="77777777" w:rsidR="000E7E7F" w:rsidRPr="000E7E7F" w:rsidRDefault="000E7E7F" w:rsidP="000E7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KANADA'NIN G.T.P.9401-OTURMAYA MAHSUS MOBİLYA İTHALATI YAPTIĞI ÜLKELER </w:t>
            </w: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(2016-2020, KANADA DOLARI)</w:t>
            </w:r>
          </w:p>
        </w:tc>
      </w:tr>
      <w:tr w:rsidR="000E7E7F" w:rsidRPr="000E7E7F" w14:paraId="5263FC1D" w14:textId="77777777" w:rsidTr="00565221">
        <w:trPr>
          <w:trHeight w:val="26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1DBE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F93B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4C44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7BAF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BE24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558E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E054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 w:rsidR="000E7E7F" w:rsidRPr="000E7E7F" w14:paraId="02F92EFC" w14:textId="77777777" w:rsidTr="00565221">
        <w:trPr>
          <w:trHeight w:val="26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CBD035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FF5BC5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China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70583A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1,236,380,756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F583BB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1,390,552,521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CB94E5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1,437,733,224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1BE79D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1,494,160,286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914461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1,409,144,530 </w:t>
            </w:r>
          </w:p>
        </w:tc>
      </w:tr>
      <w:tr w:rsidR="000E7E7F" w:rsidRPr="000E7E7F" w14:paraId="31EF67D6" w14:textId="77777777" w:rsidTr="00565221">
        <w:trPr>
          <w:trHeight w:val="2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22D5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2272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2A75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1,716,492,663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A970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1,624,129,469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0CEC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1,587,838,560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8E68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1,557,524,805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E900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1,099,431,461 </w:t>
            </w:r>
          </w:p>
        </w:tc>
      </w:tr>
      <w:tr w:rsidR="000E7E7F" w:rsidRPr="000E7E7F" w14:paraId="59AA14F2" w14:textId="77777777" w:rsidTr="00565221">
        <w:trPr>
          <w:trHeight w:val="2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577B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E23F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Mexico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7F8E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1,252,233,596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1705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1,170,579,301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E9A3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1,049,210,668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15B7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1,007,609,611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DEEE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725,029,260 </w:t>
            </w:r>
          </w:p>
        </w:tc>
      </w:tr>
      <w:tr w:rsidR="000E7E7F" w:rsidRPr="000E7E7F" w14:paraId="4E19828B" w14:textId="77777777" w:rsidTr="00565221">
        <w:trPr>
          <w:trHeight w:val="26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F26280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B9B97E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Vietnam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0DED51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86,201,652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560E67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111,809,263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732DF5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127,242,223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B6CDBE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159,599,233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FFE5A4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190,978,917 </w:t>
            </w:r>
          </w:p>
        </w:tc>
      </w:tr>
      <w:tr w:rsidR="000E7E7F" w:rsidRPr="000E7E7F" w14:paraId="4B06C0ED" w14:textId="77777777" w:rsidTr="00565221">
        <w:trPr>
          <w:trHeight w:val="2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0A7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0E90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Italy (incl. Vatican City State)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6043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78,255,752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BBCA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83,296,705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F8DF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86,721,057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373C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89,442,724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E9C9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73,862,357 </w:t>
            </w:r>
          </w:p>
        </w:tc>
      </w:tr>
      <w:tr w:rsidR="000E7E7F" w:rsidRPr="000E7E7F" w14:paraId="7B0BDC21" w14:textId="77777777" w:rsidTr="00565221">
        <w:trPr>
          <w:trHeight w:val="2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1625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5F4F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United Kingdom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39AE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28,143,367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BC32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21,166,922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D143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24,309,610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BDFE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28,856,488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C47D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43,387,156 </w:t>
            </w:r>
          </w:p>
        </w:tc>
      </w:tr>
      <w:tr w:rsidR="000E7E7F" w:rsidRPr="000E7E7F" w14:paraId="6B1E0B09" w14:textId="77777777" w:rsidTr="00565221">
        <w:trPr>
          <w:trHeight w:val="2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CD56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0CB9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DCB1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38,765,224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30B6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39,559,576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215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42,693,073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529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42,081,945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2E17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37,285,511 </w:t>
            </w:r>
          </w:p>
        </w:tc>
      </w:tr>
      <w:tr w:rsidR="000E7E7F" w:rsidRPr="000E7E7F" w14:paraId="725E84EB" w14:textId="77777777" w:rsidTr="00565221">
        <w:trPr>
          <w:trHeight w:val="2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3A92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FF3C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Japan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4E95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25,170,152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5CEE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27,176,113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F626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28,219,421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C18F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47,551,384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55CE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32,168,593 </w:t>
            </w:r>
          </w:p>
        </w:tc>
      </w:tr>
      <w:tr w:rsidR="000E7E7F" w:rsidRPr="000E7E7F" w14:paraId="2BE87C62" w14:textId="77777777" w:rsidTr="00565221">
        <w:trPr>
          <w:trHeight w:val="2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1758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5B12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7BAF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38,069,923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C09E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49,981,409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3149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46,570,012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86BA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42,173,326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52CF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24,874,971 </w:t>
            </w:r>
          </w:p>
        </w:tc>
      </w:tr>
      <w:tr w:rsidR="000E7E7F" w:rsidRPr="000E7E7F" w14:paraId="1C308436" w14:textId="77777777" w:rsidTr="00565221">
        <w:trPr>
          <w:trHeight w:val="2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8363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20E4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9FF3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16,509,482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DF1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16,177,604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0706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15,983,329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4E2B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18,296,655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8B0F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22,692,118 </w:t>
            </w:r>
          </w:p>
        </w:tc>
      </w:tr>
      <w:tr w:rsidR="000E7E7F" w:rsidRPr="000E7E7F" w14:paraId="0F926926" w14:textId="77777777" w:rsidTr="00565221">
        <w:trPr>
          <w:trHeight w:val="2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C338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E646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EB4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22,613,919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F238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22,691,715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3E97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19,864,062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DE14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22,673,514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7A16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21,768,293 </w:t>
            </w:r>
          </w:p>
        </w:tc>
      </w:tr>
      <w:tr w:rsidR="000E7E7F" w:rsidRPr="000E7E7F" w14:paraId="63972BFD" w14:textId="77777777" w:rsidTr="00565221">
        <w:trPr>
          <w:trHeight w:val="2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9165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18B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France (incl. Monaco, French Antilles)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9318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 8,427,637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D225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10,271,378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816C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14,070,645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FDF9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20,459,605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2F51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21,534,824 </w:t>
            </w:r>
          </w:p>
        </w:tc>
      </w:tr>
      <w:tr w:rsidR="000E7E7F" w:rsidRPr="000E7E7F" w14:paraId="1FB06042" w14:textId="77777777" w:rsidTr="00565221">
        <w:trPr>
          <w:trHeight w:val="2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6286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91CF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7F4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23,328,057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38BE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25,766,240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A756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23,193,212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9809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15,740,521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6C9C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14,085,389 </w:t>
            </w:r>
          </w:p>
        </w:tc>
      </w:tr>
      <w:tr w:rsidR="000E7E7F" w:rsidRPr="000E7E7F" w14:paraId="0CC83ADC" w14:textId="77777777" w:rsidTr="00565221">
        <w:trPr>
          <w:trHeight w:val="2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97AC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7735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D7F0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11,818,059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E80F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13,425,260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4112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14,365,373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1D2A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13,644,802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B4FE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13,389,325 </w:t>
            </w:r>
          </w:p>
        </w:tc>
      </w:tr>
      <w:tr w:rsidR="000E7E7F" w:rsidRPr="000E7E7F" w14:paraId="4EF728E0" w14:textId="77777777" w:rsidTr="00565221">
        <w:trPr>
          <w:trHeight w:val="2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C171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FCBE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E60F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 8,203,719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898C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  8,022,279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66E7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  8,594,326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5CE2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12,661,840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2BB3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13,316,273 </w:t>
            </w:r>
          </w:p>
        </w:tc>
      </w:tr>
      <w:tr w:rsidR="000E7E7F" w:rsidRPr="000E7E7F" w14:paraId="0727655F" w14:textId="77777777" w:rsidTr="00565221">
        <w:trPr>
          <w:trHeight w:val="2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F1B6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D93D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D866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    213,472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6F5C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    166,188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0001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  1,235,468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F6D7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  2,953,129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4CBA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10,078,291 </w:t>
            </w:r>
          </w:p>
        </w:tc>
      </w:tr>
      <w:tr w:rsidR="000E7E7F" w:rsidRPr="000E7E7F" w14:paraId="4BA44666" w14:textId="77777777" w:rsidTr="00565221">
        <w:trPr>
          <w:trHeight w:val="2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B346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3C08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A9D7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12,280,568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7A05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11,120,781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CE48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14,545,876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9066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12,341,126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76A5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  9,943,490 </w:t>
            </w:r>
          </w:p>
        </w:tc>
      </w:tr>
      <w:tr w:rsidR="000E7E7F" w:rsidRPr="000E7E7F" w14:paraId="04487C7C" w14:textId="77777777" w:rsidTr="00565221">
        <w:trPr>
          <w:trHeight w:val="2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8234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0C37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4F40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13,918,893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5012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18,834,380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AC43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17,270,558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6B7E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13,984,449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A2DA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  9,821,751 </w:t>
            </w:r>
          </w:p>
        </w:tc>
      </w:tr>
      <w:tr w:rsidR="000E7E7F" w:rsidRPr="000E7E7F" w14:paraId="4EE944D0" w14:textId="77777777" w:rsidTr="00565221">
        <w:trPr>
          <w:trHeight w:val="26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DC5B1D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A05EF8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Turkey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683E9D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3,862,059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36E3E1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6,652,294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D0F638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8,589,308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82A71F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6,308,573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5235DD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6,888,568 </w:t>
            </w:r>
          </w:p>
        </w:tc>
      </w:tr>
      <w:tr w:rsidR="000E7E7F" w:rsidRPr="000E7E7F" w14:paraId="6BA6BA02" w14:textId="77777777" w:rsidTr="00565221">
        <w:trPr>
          <w:trHeight w:val="2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BE1F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8DF1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38DC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11,153,419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0F63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13,081,149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1D09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  8,204,513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478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  8,233,815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1D09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sz w:val="20"/>
                <w:szCs w:val="20"/>
              </w:rPr>
              <w:t xml:space="preserve">             6,644,721 </w:t>
            </w:r>
          </w:p>
        </w:tc>
      </w:tr>
      <w:tr w:rsidR="000E7E7F" w:rsidRPr="000E7E7F" w14:paraId="1D0A9CAC" w14:textId="77777777" w:rsidTr="00565221">
        <w:trPr>
          <w:trHeight w:val="26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D376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5612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ARA TOPLAM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C249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4,632,042,369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4AE0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4,664,460,547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63D7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4,576,454,518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21AC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4,616,297,831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92FD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3,786,325,799 </w:t>
            </w:r>
          </w:p>
        </w:tc>
      </w:tr>
      <w:tr w:rsidR="000E7E7F" w:rsidRPr="000E7E7F" w14:paraId="41803499" w14:textId="77777777" w:rsidTr="00565221">
        <w:trPr>
          <w:trHeight w:val="26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4522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EA3D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DİĞER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B89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78,454,137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7DC1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81,655,726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400A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88,606,631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7AD4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85,511,819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D86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69,736,095 </w:t>
            </w:r>
          </w:p>
        </w:tc>
      </w:tr>
      <w:tr w:rsidR="000E7E7F" w:rsidRPr="000E7E7F" w14:paraId="11687928" w14:textId="77777777" w:rsidTr="00565221">
        <w:trPr>
          <w:trHeight w:val="26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A008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3391" w14:textId="77777777" w:rsidR="000E7E7F" w:rsidRPr="000E7E7F" w:rsidRDefault="000E7E7F" w:rsidP="000E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0171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4,710,496,506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15A1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4,746,116,273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A991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4,665,061,149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DE9D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4,701,809,650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1D0D" w14:textId="77777777" w:rsidR="000E7E7F" w:rsidRPr="000E7E7F" w:rsidRDefault="000E7E7F" w:rsidP="000E7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E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3,856,061,894 </w:t>
            </w:r>
          </w:p>
        </w:tc>
      </w:tr>
    </w:tbl>
    <w:p w14:paraId="6FFCA9B4" w14:textId="77777777" w:rsidR="004C7C61" w:rsidRDefault="004C7C61" w:rsidP="005652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744BE" w14:textId="77777777" w:rsidR="00565221" w:rsidRDefault="00565221" w:rsidP="005652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E7F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>,</w:t>
      </w:r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Kanada’nın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anılan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ürünlerde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ithalatında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sıralamasında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sırada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Kanada’ya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ürünlerde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ihracatımız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yıllarında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sırasıyla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r w:rsidRPr="000E7E7F">
        <w:rPr>
          <w:rFonts w:ascii="Times New Roman" w:hAnsi="Times New Roman" w:cs="Times New Roman"/>
          <w:sz w:val="24"/>
          <w:szCs w:val="24"/>
        </w:rPr>
        <w:t xml:space="preserve">6,3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milyon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Doları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6,9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milyon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Doları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olmuştur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50BA8" w14:textId="77777777" w:rsidR="00FD43A1" w:rsidRDefault="000E7338" w:rsidP="000E7338">
      <w:pPr>
        <w:jc w:val="both"/>
        <w:rPr>
          <w:rFonts w:ascii="Times New Roman" w:hAnsi="Times New Roman" w:cs="Times New Roman"/>
          <w:sz w:val="24"/>
          <w:szCs w:val="24"/>
        </w:rPr>
      </w:pPr>
      <w:r w:rsidRPr="000E7E7F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yıllarında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dünyaya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ihracatımız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sırasıyla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milyar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293</w:t>
      </w:r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milyon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ABD</w:t>
      </w:r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Doları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milyar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163</w:t>
      </w:r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milyon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ABD</w:t>
      </w:r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7F">
        <w:rPr>
          <w:rFonts w:ascii="Times New Roman" w:hAnsi="Times New Roman" w:cs="Times New Roman"/>
          <w:sz w:val="24"/>
          <w:szCs w:val="24"/>
        </w:rPr>
        <w:t>Doları</w:t>
      </w:r>
      <w:proofErr w:type="spellEnd"/>
      <w:r w:rsidRPr="000E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söz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ürün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CBSA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Vietnam’a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sübvansiyon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soruşturmasının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ihracatçılarımız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43A1"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Kanada</w:t>
      </w:r>
      <w:proofErr w:type="spellEnd"/>
      <w:proofErr w:type="gram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pazarında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fırsat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oluşturabileceği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değerlendirilmektedir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1D4">
        <w:rPr>
          <w:rFonts w:ascii="Times New Roman" w:hAnsi="Times New Roman" w:cs="Times New Roman"/>
          <w:sz w:val="24"/>
          <w:szCs w:val="24"/>
        </w:rPr>
        <w:t>oluşabilecek</w:t>
      </w:r>
      <w:proofErr w:type="spellEnd"/>
      <w:r w:rsidR="0052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1D4">
        <w:rPr>
          <w:rFonts w:ascii="Times New Roman" w:hAnsi="Times New Roman" w:cs="Times New Roman"/>
          <w:sz w:val="24"/>
          <w:szCs w:val="24"/>
        </w:rPr>
        <w:t>fiyat</w:t>
      </w:r>
      <w:proofErr w:type="spellEnd"/>
      <w:r w:rsidR="0052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1D4">
        <w:rPr>
          <w:rFonts w:ascii="Times New Roman" w:hAnsi="Times New Roman" w:cs="Times New Roman"/>
          <w:sz w:val="24"/>
          <w:szCs w:val="24"/>
        </w:rPr>
        <w:t>avantajının</w:t>
      </w:r>
      <w:proofErr w:type="spellEnd"/>
      <w:r w:rsidR="0052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1D4">
        <w:rPr>
          <w:rFonts w:ascii="Times New Roman" w:hAnsi="Times New Roman" w:cs="Times New Roman"/>
          <w:sz w:val="24"/>
          <w:szCs w:val="24"/>
        </w:rPr>
        <w:t>yanısıra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>,</w:t>
      </w:r>
      <w:r w:rsidR="0052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özellikle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tasarım</w:t>
      </w:r>
      <w:proofErr w:type="spellEnd"/>
      <w:r w:rsidR="005211D4">
        <w:rPr>
          <w:rFonts w:ascii="Times New Roman" w:hAnsi="Times New Roman" w:cs="Times New Roman"/>
          <w:sz w:val="24"/>
          <w:szCs w:val="24"/>
        </w:rPr>
        <w:t>,</w:t>
      </w:r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ürün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standartları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bakımından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Kanadalı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alıcı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firmaların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talep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beklentilerinin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karşılanması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hususu</w:t>
      </w:r>
      <w:proofErr w:type="spellEnd"/>
      <w:r w:rsidR="0052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1D4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="0052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1D4">
        <w:rPr>
          <w:rFonts w:ascii="Times New Roman" w:hAnsi="Times New Roman" w:cs="Times New Roman"/>
          <w:sz w:val="24"/>
          <w:szCs w:val="24"/>
        </w:rPr>
        <w:t>pazarına</w:t>
      </w:r>
      <w:proofErr w:type="spellEnd"/>
      <w:r w:rsidR="0052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1D4">
        <w:rPr>
          <w:rFonts w:ascii="Times New Roman" w:hAnsi="Times New Roman" w:cs="Times New Roman"/>
          <w:sz w:val="24"/>
          <w:szCs w:val="24"/>
        </w:rPr>
        <w:t>giriş</w:t>
      </w:r>
      <w:proofErr w:type="spellEnd"/>
      <w:r w:rsidR="0052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1D4"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 w:rsidR="0052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1D4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="0052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1D4">
        <w:rPr>
          <w:rFonts w:ascii="Times New Roman" w:hAnsi="Times New Roman" w:cs="Times New Roman"/>
          <w:sz w:val="24"/>
          <w:szCs w:val="24"/>
        </w:rPr>
        <w:t>önem</w:t>
      </w:r>
      <w:proofErr w:type="spellEnd"/>
      <w:r w:rsidR="0052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1D4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="0052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1D4">
        <w:rPr>
          <w:rFonts w:ascii="Times New Roman" w:hAnsi="Times New Roman" w:cs="Times New Roman"/>
          <w:sz w:val="24"/>
          <w:szCs w:val="24"/>
        </w:rPr>
        <w:t>etmektedir</w:t>
      </w:r>
      <w:proofErr w:type="spellEnd"/>
      <w:r w:rsidR="005211D4">
        <w:rPr>
          <w:rFonts w:ascii="Times New Roman" w:hAnsi="Times New Roman" w:cs="Times New Roman"/>
          <w:sz w:val="24"/>
          <w:szCs w:val="24"/>
        </w:rPr>
        <w:t>.</w:t>
      </w:r>
      <w:r w:rsidR="00FD43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FD15AF" w14:textId="77777777" w:rsidR="000E7338" w:rsidRDefault="004C7C61" w:rsidP="000E73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pazarında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Çin’den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3A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99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milyon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Doları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ihracat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ikinci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sırada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ABD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725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milyon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Doları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ihracat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tutarı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üçüncü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sırada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Meksika’nın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D43A1">
        <w:rPr>
          <w:rFonts w:ascii="Times New Roman" w:hAnsi="Times New Roman" w:cs="Times New Roman"/>
          <w:sz w:val="24"/>
          <w:szCs w:val="24"/>
        </w:rPr>
        <w:t xml:space="preserve"> USMCA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avantajlı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biçimde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pazarına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tedarik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sağladığı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FD43A1">
        <w:rPr>
          <w:rFonts w:ascii="Times New Roman" w:hAnsi="Times New Roman" w:cs="Times New Roman"/>
          <w:sz w:val="24"/>
          <w:szCs w:val="24"/>
        </w:rPr>
        <w:t>ikkate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alındığında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bahse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konu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soruşturmalardan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avantaj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sağlama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potansiyeli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ülkeler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öne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A1">
        <w:rPr>
          <w:rFonts w:ascii="Times New Roman" w:hAnsi="Times New Roman" w:cs="Times New Roman"/>
          <w:sz w:val="24"/>
          <w:szCs w:val="24"/>
        </w:rPr>
        <w:t>çık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ihtimalleri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mevcuttur</w:t>
      </w:r>
      <w:proofErr w:type="spellEnd"/>
      <w:r w:rsidR="00FD43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5928D" w14:textId="77777777" w:rsidR="00565221" w:rsidRPr="005211D4" w:rsidRDefault="00565221" w:rsidP="00565221">
      <w:pPr>
        <w:jc w:val="both"/>
        <w:rPr>
          <w:rFonts w:ascii="Times New Roman" w:hAnsi="Times New Roman" w:cs="Times New Roman"/>
          <w:sz w:val="24"/>
          <w:szCs w:val="24"/>
        </w:rPr>
      </w:pPr>
      <w:r w:rsidRPr="005211D4">
        <w:rPr>
          <w:rFonts w:ascii="Times New Roman" w:hAnsi="Times New Roman" w:cs="Times New Roman"/>
          <w:sz w:val="24"/>
          <w:szCs w:val="24"/>
        </w:rPr>
        <w:t xml:space="preserve">CBSA </w:t>
      </w:r>
      <w:proofErr w:type="spellStart"/>
      <w:r w:rsidRPr="005211D4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52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D4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52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D4">
        <w:rPr>
          <w:rFonts w:ascii="Times New Roman" w:hAnsi="Times New Roman" w:cs="Times New Roman"/>
          <w:sz w:val="24"/>
          <w:szCs w:val="24"/>
        </w:rPr>
        <w:t>bildirime</w:t>
      </w:r>
      <w:proofErr w:type="spellEnd"/>
      <w:r w:rsidRPr="005211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211D4">
          <w:rPr>
            <w:rFonts w:ascii="Times New Roman" w:hAnsi="Times New Roman" w:cs="Times New Roman"/>
            <w:b/>
            <w:i/>
            <w:sz w:val="24"/>
            <w:szCs w:val="24"/>
          </w:rPr>
          <w:t>https://www.cbsa-asfc.gc.ca/sima-lmsi/i-e/uds2020/uds2020-np-eng.html</w:t>
        </w:r>
      </w:hyperlink>
      <w:r w:rsidRPr="005211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11D4">
        <w:rPr>
          <w:rFonts w:ascii="Times New Roman" w:hAnsi="Times New Roman" w:cs="Times New Roman"/>
          <w:sz w:val="24"/>
          <w:szCs w:val="24"/>
        </w:rPr>
        <w:t>linkinden</w:t>
      </w:r>
      <w:proofErr w:type="spellEnd"/>
      <w:r w:rsidRPr="0052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D4">
        <w:rPr>
          <w:rFonts w:ascii="Times New Roman" w:hAnsi="Times New Roman" w:cs="Times New Roman"/>
          <w:sz w:val="24"/>
          <w:szCs w:val="24"/>
        </w:rPr>
        <w:t>erişim</w:t>
      </w:r>
      <w:proofErr w:type="spellEnd"/>
      <w:r w:rsidRPr="0052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D4">
        <w:rPr>
          <w:rFonts w:ascii="Times New Roman" w:hAnsi="Times New Roman" w:cs="Times New Roman"/>
          <w:sz w:val="24"/>
          <w:szCs w:val="24"/>
        </w:rPr>
        <w:t>sağlanabilmektedir</w:t>
      </w:r>
      <w:proofErr w:type="spellEnd"/>
      <w:r w:rsidRPr="005211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3D2A2" w14:textId="77777777" w:rsidR="00567241" w:rsidRDefault="005211D4" w:rsidP="005211D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Bilgileri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bahsekonu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gelişmenin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İhracatçı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Birlikleri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Odaları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ihracatçı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firmalara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iletilmesi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hususunda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61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="004C7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47F84" w14:textId="77777777" w:rsidR="00567241" w:rsidRPr="00567241" w:rsidRDefault="00567241" w:rsidP="0015463D">
      <w:pPr>
        <w:rPr>
          <w:rFonts w:ascii="Times New Roman" w:hAnsi="Times New Roman" w:cs="Times New Roman"/>
        </w:rPr>
      </w:pPr>
    </w:p>
    <w:sectPr w:rsidR="00567241" w:rsidRPr="0056724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DEC8" w14:textId="77777777" w:rsidR="004B410D" w:rsidRDefault="004B410D" w:rsidP="00565221">
      <w:pPr>
        <w:spacing w:after="0" w:line="240" w:lineRule="auto"/>
      </w:pPr>
      <w:r>
        <w:separator/>
      </w:r>
    </w:p>
  </w:endnote>
  <w:endnote w:type="continuationSeparator" w:id="0">
    <w:p w14:paraId="368BC2BC" w14:textId="77777777" w:rsidR="004B410D" w:rsidRDefault="004B410D" w:rsidP="0056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921711"/>
      <w:docPartObj>
        <w:docPartGallery w:val="Page Numbers (Bottom of Page)"/>
        <w:docPartUnique/>
      </w:docPartObj>
    </w:sdtPr>
    <w:sdtEndPr/>
    <w:sdtContent>
      <w:p w14:paraId="38BDD3F1" w14:textId="77777777" w:rsidR="00565221" w:rsidRDefault="0056522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1E6" w:rsidRPr="004431E6">
          <w:rPr>
            <w:noProof/>
            <w:lang w:val="tr-TR"/>
          </w:rPr>
          <w:t>1</w:t>
        </w:r>
        <w:r>
          <w:fldChar w:fldCharType="end"/>
        </w:r>
        <w:r w:rsidR="005211D4">
          <w:rPr>
            <w:lang w:val="en-CA"/>
          </w:rPr>
          <w:t>/6</w:t>
        </w:r>
      </w:p>
    </w:sdtContent>
  </w:sdt>
  <w:p w14:paraId="65788B48" w14:textId="77777777" w:rsidR="00565221" w:rsidRDefault="005652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BA1E" w14:textId="77777777" w:rsidR="004B410D" w:rsidRDefault="004B410D" w:rsidP="00565221">
      <w:pPr>
        <w:spacing w:after="0" w:line="240" w:lineRule="auto"/>
      </w:pPr>
      <w:r>
        <w:separator/>
      </w:r>
    </w:p>
  </w:footnote>
  <w:footnote w:type="continuationSeparator" w:id="0">
    <w:p w14:paraId="052F615D" w14:textId="77777777" w:rsidR="004B410D" w:rsidRDefault="004B410D" w:rsidP="00565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78F"/>
    <w:multiLevelType w:val="hybridMultilevel"/>
    <w:tmpl w:val="40A6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00774"/>
    <w:multiLevelType w:val="hybridMultilevel"/>
    <w:tmpl w:val="46AA6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C67ED0"/>
    <w:multiLevelType w:val="multilevel"/>
    <w:tmpl w:val="8FD6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1E"/>
    <w:rsid w:val="000D6085"/>
    <w:rsid w:val="000D6277"/>
    <w:rsid w:val="000E7338"/>
    <w:rsid w:val="000E7E7F"/>
    <w:rsid w:val="00136F85"/>
    <w:rsid w:val="0015463D"/>
    <w:rsid w:val="0016488B"/>
    <w:rsid w:val="001E47EB"/>
    <w:rsid w:val="0025089E"/>
    <w:rsid w:val="002831B2"/>
    <w:rsid w:val="002E1FA5"/>
    <w:rsid w:val="003F1D1E"/>
    <w:rsid w:val="004431E6"/>
    <w:rsid w:val="004B410D"/>
    <w:rsid w:val="004C7C61"/>
    <w:rsid w:val="004D1D97"/>
    <w:rsid w:val="005211D4"/>
    <w:rsid w:val="00556A85"/>
    <w:rsid w:val="00565221"/>
    <w:rsid w:val="00567241"/>
    <w:rsid w:val="005F39EE"/>
    <w:rsid w:val="006747B2"/>
    <w:rsid w:val="006D66A8"/>
    <w:rsid w:val="00701E37"/>
    <w:rsid w:val="00803447"/>
    <w:rsid w:val="008F4120"/>
    <w:rsid w:val="00902EEA"/>
    <w:rsid w:val="009251D0"/>
    <w:rsid w:val="0096306E"/>
    <w:rsid w:val="009F672B"/>
    <w:rsid w:val="00A41A6A"/>
    <w:rsid w:val="00A65501"/>
    <w:rsid w:val="00B42CEC"/>
    <w:rsid w:val="00C65B93"/>
    <w:rsid w:val="00C73EB8"/>
    <w:rsid w:val="00DE5F9F"/>
    <w:rsid w:val="00F004DC"/>
    <w:rsid w:val="00FA4F32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533F"/>
  <w15:chartTrackingRefBased/>
  <w15:docId w15:val="{50685A8D-6DDC-43E9-897A-E5CB2985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6085"/>
    <w:rPr>
      <w:color w:val="0000FF"/>
      <w:u w:val="single"/>
    </w:rPr>
  </w:style>
  <w:style w:type="table" w:styleId="TabloKlavuzu">
    <w:name w:val="Table Grid"/>
    <w:basedOn w:val="NormalTablo"/>
    <w:uiPriority w:val="39"/>
    <w:rsid w:val="0028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522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5221"/>
  </w:style>
  <w:style w:type="paragraph" w:styleId="AltBilgi">
    <w:name w:val="footer"/>
    <w:basedOn w:val="Normal"/>
    <w:link w:val="AltBilgiChar"/>
    <w:uiPriority w:val="99"/>
    <w:unhideWhenUsed/>
    <w:rsid w:val="0056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bsa-asfc.gc.ca/sima-lmsi/i-e/uds2020/uds2020-np-e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Şerafettin AYGÜN</cp:lastModifiedBy>
  <cp:revision>2</cp:revision>
  <dcterms:created xsi:type="dcterms:W3CDTF">2021-06-14T11:38:00Z</dcterms:created>
  <dcterms:modified xsi:type="dcterms:W3CDTF">2021-06-14T11:38:00Z</dcterms:modified>
</cp:coreProperties>
</file>