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941"/>
        <w:gridCol w:w="131"/>
      </w:tblGrid>
      <w:tr w:rsidR="00722191" w:rsidTr="003B3438">
        <w:trPr>
          <w:divId w:val="89863479"/>
          <w:tblCellSpacing w:w="15" w:type="dxa"/>
        </w:trPr>
        <w:tc>
          <w:tcPr>
            <w:tcW w:w="0" w:type="auto"/>
            <w:vAlign w:val="center"/>
          </w:tcPr>
          <w:p w:rsidR="00722191" w:rsidRDefault="003B3438">
            <w:pPr>
              <w:rPr>
                <w:rFonts w:eastAsia="Times New Roman"/>
              </w:rPr>
            </w:pPr>
            <w:r w:rsidRPr="003B3438">
              <w:rPr>
                <w:rFonts w:eastAsia="Times New Roman"/>
              </w:rPr>
              <w:t>https://www.alta.ru/tamdoc/25ps2089/</w:t>
            </w:r>
          </w:p>
        </w:tc>
        <w:tc>
          <w:tcPr>
            <w:tcW w:w="0" w:type="auto"/>
            <w:vAlign w:val="center"/>
          </w:tcPr>
          <w:p w:rsidR="00722191" w:rsidRDefault="00722191">
            <w:pPr>
              <w:rPr>
                <w:rFonts w:eastAsia="Times New Roman"/>
              </w:rPr>
            </w:pPr>
          </w:p>
        </w:tc>
      </w:tr>
    </w:tbl>
    <w:p w:rsidR="00722191" w:rsidRDefault="00722191">
      <w:pPr>
        <w:rPr>
          <w:rFonts w:eastAsia="Times New Roman"/>
        </w:rPr>
      </w:pPr>
      <w:bookmarkStart w:id="0" w:name="_GoBack"/>
      <w:bookmarkEnd w:id="0"/>
    </w:p>
    <w:p w:rsidR="00722191" w:rsidRDefault="00890C25">
      <w:pPr>
        <w:pStyle w:val="Balk2"/>
        <w:rPr>
          <w:rFonts w:eastAsia="Times New Roman"/>
        </w:rPr>
      </w:pPr>
      <w:r>
        <w:rPr>
          <w:rFonts w:eastAsia="Times New Roman"/>
        </w:rPr>
        <w:t xml:space="preserve">Resolution of the Government of the Russian Federation </w:t>
      </w:r>
      <w:r>
        <w:rPr>
          <w:rFonts w:eastAsia="Times New Roman"/>
        </w:rPr>
        <w:br/>
        <w:t>of December 22, 2025 No. 2089 "On Amendments to Resolution of the Government of the Russian Federation of December 31, 2021 No. 2595"</w:t>
      </w:r>
    </w:p>
    <w:p w:rsidR="00722191" w:rsidRDefault="00890C25">
      <w:pPr>
        <w:jc w:val="center"/>
        <w:rPr>
          <w:rFonts w:eastAsia="Times New Roman"/>
        </w:rPr>
      </w:pPr>
      <w:r>
        <w:rPr>
          <w:rFonts w:eastAsia="Times New Roman"/>
        </w:rPr>
        <w:t xml:space="preserve">  </w:t>
      </w:r>
    </w:p>
    <w:p w:rsidR="00722191" w:rsidRDefault="00890C25">
      <w:pPr>
        <w:pStyle w:val="NormalWeb"/>
        <w:jc w:val="both"/>
      </w:pPr>
      <w:r>
        <w:t>The Government of the Russian Federation RESOLVES:</w:t>
      </w:r>
    </w:p>
    <w:p w:rsidR="00722191" w:rsidRDefault="00890C25">
      <w:pPr>
        <w:pStyle w:val="NormalWeb"/>
        <w:jc w:val="both"/>
      </w:pPr>
      <w:r>
        <w:t xml:space="preserve">1. To approve the attached amendments to the Resolution of the Government of the Russian Federation of </w:t>
      </w:r>
      <w:hyperlink r:id="rId4" w:tooltip="Постановление 2595 от 31.12.2021 Правительства РФ&#10;&#10;Правила распределения между участниками ВЭД объемов тарифных квот в отношении пшеницы и меслина, ячменя, ржи и кукурузы, вывозимых за пределы РФ в государства, не являющиеся членами ЕАЭС, в соответствии с тамо" w:history="1">
        <w:r>
          <w:rPr>
            <w:rStyle w:val="Kpr"/>
          </w:rPr>
          <w:t xml:space="preserve">December 31, 2021 No. 2595 </w:t>
        </w:r>
      </w:hyperlink>
      <w:r>
        <w:t xml:space="preserve">"On measures to regulate the export of wheat and </w:t>
      </w:r>
      <w:proofErr w:type="spellStart"/>
      <w:r>
        <w:t>meslin</w:t>
      </w:r>
      <w:proofErr w:type="spellEnd"/>
      <w:r>
        <w:t>, barley, rye and corn outside the territory of the Russian Federation to states that are not members of the Eurasian Economic Union" (Collected Legislation of the Russian Federation, 2022, No. 2, Art. 533; 2023, No. 1, Art. 324; No. 25, Art. 4603; 2024, No. 1, Art. 175; No. 52, Art. 8356).</w:t>
      </w:r>
    </w:p>
    <w:p w:rsidR="00722191" w:rsidRDefault="00890C25">
      <w:pPr>
        <w:pStyle w:val="NormalWeb"/>
        <w:jc w:val="both"/>
      </w:pPr>
      <w:r>
        <w:t>2. This resolution shall enter into force on the day of its official publication.</w:t>
      </w:r>
    </w:p>
    <w:p w:rsidR="00722191" w:rsidRDefault="00890C25">
      <w:pPr>
        <w:pStyle w:val="NormalWeb"/>
        <w:jc w:val="both"/>
      </w:pPr>
      <w:r>
        <w:t> </w:t>
      </w:r>
    </w:p>
    <w:p w:rsidR="00722191" w:rsidRDefault="00890C25">
      <w:pPr>
        <w:jc w:val="right"/>
        <w:rPr>
          <w:rFonts w:eastAsia="Times New Roman"/>
        </w:rPr>
      </w:pPr>
      <w:r>
        <w:rPr>
          <w:rFonts w:eastAsia="Times New Roman"/>
        </w:rPr>
        <w:t xml:space="preserve">Chairman of the Government </w:t>
      </w:r>
      <w:r>
        <w:rPr>
          <w:rFonts w:eastAsia="Times New Roman"/>
        </w:rPr>
        <w:br/>
        <w:t xml:space="preserve">of the Russian Federation M. </w:t>
      </w:r>
      <w:proofErr w:type="spellStart"/>
      <w:r>
        <w:rPr>
          <w:rFonts w:eastAsia="Times New Roman"/>
        </w:rPr>
        <w:t>Mishustin</w:t>
      </w:r>
      <w:proofErr w:type="spellEnd"/>
    </w:p>
    <w:p w:rsidR="00722191" w:rsidRDefault="00890C25">
      <w:pPr>
        <w:pStyle w:val="NormalWeb"/>
        <w:jc w:val="both"/>
      </w:pPr>
      <w:r>
        <w:t> </w:t>
      </w:r>
    </w:p>
    <w:p w:rsidR="00722191" w:rsidRDefault="00890C25">
      <w:pPr>
        <w:pStyle w:val="NormalWeb"/>
        <w:jc w:val="both"/>
      </w:pPr>
      <w:r>
        <w:t> </w:t>
      </w:r>
    </w:p>
    <w:p w:rsidR="00722191" w:rsidRDefault="00890C25">
      <w:pPr>
        <w:jc w:val="right"/>
        <w:rPr>
          <w:rFonts w:eastAsia="Times New Roman"/>
        </w:rPr>
      </w:pPr>
      <w:r>
        <w:rPr>
          <w:rFonts w:eastAsia="Times New Roman"/>
        </w:rPr>
        <w:t xml:space="preserve">Approved </w:t>
      </w:r>
      <w:r>
        <w:rPr>
          <w:rFonts w:eastAsia="Times New Roman"/>
        </w:rPr>
        <w:br/>
        <w:t>by Decree of the Government of the Russian Federation of December 22, 2025 No. 2089</w:t>
      </w:r>
    </w:p>
    <w:p w:rsidR="00722191" w:rsidRDefault="00890C25">
      <w:pPr>
        <w:jc w:val="center"/>
        <w:rPr>
          <w:rFonts w:eastAsia="Times New Roman"/>
        </w:rPr>
      </w:pPr>
      <w:r>
        <w:rPr>
          <w:rFonts w:eastAsia="Times New Roman"/>
        </w:rPr>
        <w:t xml:space="preserve">AMENDMENTS </w:t>
      </w:r>
      <w:r>
        <w:rPr>
          <w:rFonts w:eastAsia="Times New Roman"/>
        </w:rPr>
        <w:br/>
        <w:t xml:space="preserve">TO THE RESOLUTION OF THE GOVERNMENT OF THE RUSSIAN FEDERATION OF </w:t>
      </w:r>
      <w:hyperlink r:id="rId5" w:tooltip="Постановление 2595 от 31.12.2021 Правительства РФ&#10;&#10;Правила распределения между участниками ВЭД объемов тарифных квот в отношении пшеницы и меслина, ячменя, ржи и кукурузы, вывозимых за пределы РФ в государства, не являющиеся членами ЕАЭС, в соответствии с тамо" w:history="1">
        <w:r>
          <w:rPr>
            <w:rStyle w:val="Kpr"/>
            <w:rFonts w:eastAsia="Times New Roman"/>
          </w:rPr>
          <w:t>DECEMBER 31, 2021 N 2595</w:t>
        </w:r>
      </w:hyperlink>
      <w:r>
        <w:rPr>
          <w:rFonts w:eastAsia="Times New Roman"/>
        </w:rPr>
        <w:br/>
        <w:t xml:space="preserve">  </w:t>
      </w:r>
    </w:p>
    <w:p w:rsidR="00722191" w:rsidRDefault="00890C25">
      <w:pPr>
        <w:pStyle w:val="NormalWeb"/>
        <w:jc w:val="both"/>
      </w:pPr>
      <w:r>
        <w:t>1. Clause 2 shall be supplemented with paragraphs of the following content:</w:t>
      </w:r>
    </w:p>
    <w:p w:rsidR="00722191" w:rsidRDefault="00890C25">
      <w:pPr>
        <w:pStyle w:val="NormalWeb"/>
        <w:jc w:val="both"/>
      </w:pPr>
      <w:r>
        <w:t>"</w:t>
      </w:r>
      <w:r w:rsidRPr="00833425">
        <w:rPr>
          <w:highlight w:val="yellow"/>
        </w:rPr>
        <w:t xml:space="preserve">The volume of the tariff quota for export outside the territory of the Russian Federation to states that are not members of the Eurasian Economic Union of wheat and </w:t>
      </w:r>
      <w:proofErr w:type="spellStart"/>
      <w:r w:rsidRPr="00833425">
        <w:rPr>
          <w:highlight w:val="yellow"/>
        </w:rPr>
        <w:t>meslin</w:t>
      </w:r>
      <w:proofErr w:type="spellEnd"/>
      <w:r w:rsidRPr="00833425">
        <w:rPr>
          <w:highlight w:val="yellow"/>
        </w:rPr>
        <w:t xml:space="preserve"> (codes </w:t>
      </w:r>
      <w:hyperlink r:id="rId6" w:history="1">
        <w:r w:rsidRPr="00833425">
          <w:rPr>
            <w:rStyle w:val="Kpr"/>
            <w:color w:val="008000"/>
            <w:highlight w:val="yellow"/>
          </w:rPr>
          <w:t xml:space="preserve">1001 19 000 0 </w:t>
        </w:r>
      </w:hyperlink>
      <w:r w:rsidRPr="00833425">
        <w:rPr>
          <w:highlight w:val="yellow"/>
        </w:rPr>
        <w:t xml:space="preserve">and </w:t>
      </w:r>
      <w:hyperlink r:id="rId7" w:history="1">
        <w:r w:rsidRPr="00833425">
          <w:rPr>
            <w:rStyle w:val="Kpr"/>
            <w:color w:val="008000"/>
            <w:highlight w:val="yellow"/>
          </w:rPr>
          <w:t xml:space="preserve">1001 99 000 0 </w:t>
        </w:r>
      </w:hyperlink>
      <w:r w:rsidRPr="00833425">
        <w:rPr>
          <w:highlight w:val="yellow"/>
        </w:rPr>
        <w:t xml:space="preserve">of the EAEU TN VED), barley (code </w:t>
      </w:r>
      <w:hyperlink r:id="rId8" w:history="1">
        <w:r w:rsidRPr="00833425">
          <w:rPr>
            <w:rStyle w:val="Kpr"/>
            <w:color w:val="008000"/>
            <w:highlight w:val="yellow"/>
          </w:rPr>
          <w:t xml:space="preserve">1003 90 000 0 </w:t>
        </w:r>
      </w:hyperlink>
      <w:r w:rsidRPr="00833425">
        <w:rPr>
          <w:highlight w:val="yellow"/>
        </w:rPr>
        <w:t xml:space="preserve">of the EAEU TN VED) and corn (code </w:t>
      </w:r>
      <w:hyperlink r:id="rId9" w:history="1">
        <w:r w:rsidRPr="00833425">
          <w:rPr>
            <w:rStyle w:val="Kpr"/>
            <w:color w:val="008000"/>
            <w:highlight w:val="yellow"/>
          </w:rPr>
          <w:t xml:space="preserve">1005 90 000 0 </w:t>
        </w:r>
      </w:hyperlink>
      <w:r w:rsidRPr="00833425">
        <w:rPr>
          <w:highlight w:val="yellow"/>
        </w:rPr>
        <w:t>of the EAEU TN VED) from February 15 to June 30, 2026 shall be determined in a total volume of 20 million tons.</w:t>
      </w:r>
    </w:p>
    <w:p w:rsidR="00722191" w:rsidRDefault="00890C25">
      <w:pPr>
        <w:pStyle w:val="NormalWeb"/>
        <w:jc w:val="both"/>
      </w:pPr>
      <w:r w:rsidRPr="00833425">
        <w:rPr>
          <w:highlight w:val="yellow"/>
        </w:rPr>
        <w:t xml:space="preserve">The volume of the tariff quota for export outside the territory of the Russian Federation to states that are not members of the Eurasian Economic Union of rye (code </w:t>
      </w:r>
      <w:hyperlink r:id="rId10" w:history="1">
        <w:r w:rsidRPr="00833425">
          <w:rPr>
            <w:rStyle w:val="Kpr"/>
            <w:color w:val="008000"/>
            <w:highlight w:val="yellow"/>
          </w:rPr>
          <w:t xml:space="preserve">1002 90 000 0 </w:t>
        </w:r>
      </w:hyperlink>
      <w:r w:rsidRPr="00833425">
        <w:rPr>
          <w:highlight w:val="yellow"/>
        </w:rPr>
        <w:t>TN VED EAEU) from February 15 to June 30, 2026 shall be determined at 0 tons."</w:t>
      </w:r>
    </w:p>
    <w:p w:rsidR="00722191" w:rsidRDefault="00890C25">
      <w:pPr>
        <w:pStyle w:val="NormalWeb"/>
        <w:jc w:val="both"/>
      </w:pPr>
      <w:r>
        <w:lastRenderedPageBreak/>
        <w:t>2. Subparagraph "a" of paragraph 5 shall be set out as follows:</w:t>
      </w:r>
    </w:p>
    <w:p w:rsidR="00722191" w:rsidRDefault="00890C25">
      <w:pPr>
        <w:pStyle w:val="NormalWeb"/>
        <w:jc w:val="both"/>
      </w:pPr>
      <w:r>
        <w:t>"a) annually, by 10 January, to the Ministry of Agriculture of the Russian Federation data on the volumes of grain crops actually exported by each participant in foreign trade activities outside the territory of the Russian Federation to states that are not members of the Eurasian Economic Union, in accordance with the customs procedure for export for the period from 1 December of the second year preceding the year for which tariff quotas are established, until 30 November of the year preceding the year for which tariff quotas are established, as well as on the volumes of grain crops actually exported by each participant in foreign trade activities outside the territory of the Russian Federation to states that are members of the Eurasian Economic Union for the period from 1 November of the second year preceding the year for which tariff quotas are established, until 31 October of the year preceding the year for which tariff quotas are established (indicating the taxpayer identification number, location address, information on one-time export licenses (if any) and the exported volume);".</w:t>
      </w:r>
    </w:p>
    <w:p w:rsidR="00722191" w:rsidRDefault="00890C25">
      <w:pPr>
        <w:pStyle w:val="NormalWeb"/>
        <w:jc w:val="both"/>
      </w:pPr>
      <w:r>
        <w:t>3. Supplement paragraph 7(1) with the following content:</w:t>
      </w:r>
    </w:p>
    <w:p w:rsidR="00722191" w:rsidRDefault="00890C25">
      <w:pPr>
        <w:pStyle w:val="NormalWeb"/>
        <w:jc w:val="both"/>
      </w:pPr>
      <w:r>
        <w:t>"7(1). The export of grain crops within the tariff quota shall be carried out during the period of validity of the tariff quota under licenses issued in accordance with paragraph 7 of this resolution and valid on the date of actual export of grain crops, in the event that the customs declaration features established by Article 102 of the Federal Law "On Customs Regulation in the Russian Federation and on Amendments to Certain Legislative Acts of the Russian Federation" are applied when placing grain crops under the customs procedure of export.</w:t>
      </w:r>
    </w:p>
    <w:p w:rsidR="00722191" w:rsidRDefault="00890C25">
      <w:pPr>
        <w:pStyle w:val="NormalWeb"/>
        <w:jc w:val="both"/>
      </w:pPr>
      <w:r>
        <w:t>In the event that the specified features of customs declaration are not applied, the export of grain crops within the tariff quota is carried out under licenses issued in accordance with paragraph 7 of this resolution and valid on the date of registration of the customs declaration (declaration of goods).</w:t>
      </w:r>
    </w:p>
    <w:p w:rsidR="00722191" w:rsidRDefault="00890C25">
      <w:pPr>
        <w:pStyle w:val="NormalWeb"/>
        <w:jc w:val="both"/>
      </w:pPr>
      <w:r>
        <w:t xml:space="preserve">4. In the Rules for the distribution among participants in foreign trade activities of the volumes of the main part of tariff quotas for wheat and </w:t>
      </w:r>
      <w:proofErr w:type="spellStart"/>
      <w:r>
        <w:t>meslin</w:t>
      </w:r>
      <w:proofErr w:type="spellEnd"/>
      <w:r>
        <w:t>, barley, rye and corn exported outside the territory of the Russian Federation to states that are not members of the Eurasian Economic Union, in accordance with the customs procedure for export, approved by the said resolution:</w:t>
      </w:r>
    </w:p>
    <w:p w:rsidR="00722191" w:rsidRDefault="00890C25">
      <w:pPr>
        <w:pStyle w:val="NormalWeb"/>
        <w:jc w:val="both"/>
      </w:pPr>
      <w:r>
        <w:t xml:space="preserve">a) in paragraph 2, after the words “during the base period,” add the words “to states that are not members of the Eurasian Economic Union,” and after the words </w:t>
      </w:r>
      <w:proofErr w:type="gramStart"/>
      <w:r>
        <w:t>“ export</w:t>
      </w:r>
      <w:proofErr w:type="gramEnd"/>
      <w:r>
        <w:t xml:space="preserve"> procedure,” add the words “, as well as to states that are members of the Eurasian Economic Union”;</w:t>
      </w:r>
    </w:p>
    <w:p w:rsidR="00722191" w:rsidRDefault="00890C25">
      <w:pPr>
        <w:pStyle w:val="NormalWeb"/>
        <w:jc w:val="both"/>
      </w:pPr>
      <w:r>
        <w:t>b) clause 3 shall be supplemented with the words “(with respect to the export of grain crops outside the territory of the Russian Federation to states that are not members of the Eurasian Economic Union), and the period beginning on November 1 of the second year preceding the year for which tariff quotas are established and ending on October 31 (inclusive) of the year preceding the year for which tariff quotas are established (with respect to the export of grain crops outside the territory of the Russian Federation to states that are members of the Eurasian Economic Union)”;</w:t>
      </w:r>
    </w:p>
    <w:p w:rsidR="00722191" w:rsidRDefault="00890C25">
      <w:pPr>
        <w:pStyle w:val="NormalWeb"/>
        <w:jc w:val="both"/>
      </w:pPr>
      <w:r>
        <w:t>c) the first paragraph of clause 15 shall be set out as follows:</w:t>
      </w:r>
    </w:p>
    <w:p w:rsidR="00722191" w:rsidRDefault="00890C25">
      <w:pPr>
        <w:pStyle w:val="NormalWeb"/>
        <w:jc w:val="both"/>
      </w:pPr>
      <w:r>
        <w:t xml:space="preserve">"15. The use of the main part of the tariff quota is carried out on the basis of a one-time license issued by the Ministry of Industry and Trade of the Russian Federation. A one-time license is </w:t>
      </w:r>
      <w:r>
        <w:lastRenderedPageBreak/>
        <w:t xml:space="preserve">issued within the limits of the volumes of the main parts of the tariff quotas distributed in accordance with paragraph 13 of these Rules, in the manner determined by the Licensing Rules in the Sphere of Foreign Trade in Goods, approved by Decree of the Government of the Russian Federation of </w:t>
      </w:r>
      <w:hyperlink r:id="rId11" w:tooltip="Постановление 1577 от 18.11.2024 Правительства РФ&#10;&#10;Правила лицензирования в сфере внешней торговли товарами" w:history="1">
        <w:r>
          <w:rPr>
            <w:rStyle w:val="Kpr"/>
          </w:rPr>
          <w:t xml:space="preserve">November 18, 2024 No. 1577 </w:t>
        </w:r>
      </w:hyperlink>
      <w:r>
        <w:t>"On Approval of the Licensing Rules in the Sphere of Foreign Trade in Goods".</w:t>
      </w:r>
    </w:p>
    <w:p w:rsidR="00722191" w:rsidRDefault="00890C25">
      <w:pPr>
        <w:pStyle w:val="NormalWeb"/>
        <w:jc w:val="both"/>
      </w:pPr>
      <w:r>
        <w:t xml:space="preserve">5. The first paragraph of clause 29 of the Rules for the distribution among participants in foreign trade activities of the volumes of the additional portion of tariff quotas for wheat and </w:t>
      </w:r>
      <w:proofErr w:type="spellStart"/>
      <w:r>
        <w:t>meslin</w:t>
      </w:r>
      <w:proofErr w:type="spellEnd"/>
      <w:r>
        <w:t>, barley, rye and corn exported outside the territory of the Russian Federation to states that are not members of the Eurasian Economic Union, in accordance with the customs procedure for export, approved by the said resolution, shall be set out as follows:</w:t>
      </w:r>
    </w:p>
    <w:p w:rsidR="00722191" w:rsidRDefault="00890C25">
      <w:pPr>
        <w:pStyle w:val="NormalWeb"/>
        <w:jc w:val="both"/>
      </w:pPr>
      <w:r>
        <w:t xml:space="preserve">"29. The use of the additional portion of the tariff quota shall be carried out on the basis of a one-time license for the export of grain crops issued by the Ministry of Industry and Trade of the Russian Federation. A one-time license for the export of grain crops shall be issued within the limits of the volume of the additional portion of the tariff quota specified in the distribution decision, in the manner determined by the Licensing Rules in the Sphere of Foreign Trade in Goods, approved by Decree of the Government of the Russian Federation of </w:t>
      </w:r>
      <w:hyperlink r:id="rId12" w:tooltip="Постановление 1577 от 18.11.2024 Правительства РФ&#10;&#10;Правила лицензирования в сфере внешней торговли товарами" w:history="1">
        <w:r>
          <w:rPr>
            <w:rStyle w:val="Kpr"/>
          </w:rPr>
          <w:t xml:space="preserve">November 18, 2024 No. 1577 </w:t>
        </w:r>
      </w:hyperlink>
      <w:r>
        <w:t>"On Approval of the Licensing Rules in the Sphere of Foreign Trade in Goods".</w:t>
      </w:r>
    </w:p>
    <w:p w:rsidR="00722191" w:rsidRDefault="00890C25">
      <w:pPr>
        <w:pStyle w:val="NormalWeb"/>
        <w:jc w:val="both"/>
      </w:pPr>
      <w:r>
        <w:t> </w:t>
      </w:r>
    </w:p>
    <w:p w:rsidR="00890C25" w:rsidRDefault="00890C25">
      <w:pPr>
        <w:pStyle w:val="NormalWeb"/>
        <w:jc w:val="both"/>
      </w:pPr>
      <w:r>
        <w:t> </w:t>
      </w:r>
    </w:p>
    <w:sectPr w:rsidR="00890C2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Consolas">
    <w:panose1 w:val="020B0609020204030204"/>
    <w:charset w:val="00"/>
    <w:family w:val="roman"/>
    <w:notTrueType/>
    <w:pitch w:val="default"/>
  </w:font>
  <w:font w:name="Calibri">
    <w:panose1 w:val="020F05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1E1"/>
    <w:rsid w:val="003B3438"/>
    <w:rsid w:val="00722191"/>
    <w:rsid w:val="00833425"/>
    <w:rsid w:val="00890C25"/>
    <w:rsid w:val="00BE61E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CF3704D-5069-471E-B32D-556D7B3FD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paragraph" w:styleId="Balk1">
    <w:name w:val="heading 1"/>
    <w:basedOn w:val="Normal"/>
    <w:link w:val="Balk1Char"/>
    <w:uiPriority w:val="9"/>
    <w:qFormat/>
    <w:pPr>
      <w:spacing w:before="100" w:beforeAutospacing="1" w:after="100" w:afterAutospacing="1"/>
      <w:outlineLvl w:val="0"/>
    </w:pPr>
    <w:rPr>
      <w:b/>
      <w:bCs/>
      <w:kern w:val="36"/>
      <w:sz w:val="48"/>
      <w:szCs w:val="48"/>
    </w:rPr>
  </w:style>
  <w:style w:type="paragraph" w:styleId="Balk2">
    <w:name w:val="heading 2"/>
    <w:basedOn w:val="Normal"/>
    <w:link w:val="Balk2Char"/>
    <w:uiPriority w:val="9"/>
    <w:qFormat/>
    <w:pPr>
      <w:spacing w:before="100" w:beforeAutospacing="1" w:after="100" w:afterAutospacing="1"/>
      <w:jc w:val="center"/>
      <w:outlineLvl w:val="1"/>
    </w:pPr>
    <w:rPr>
      <w:b/>
      <w:bCs/>
      <w:sz w:val="32"/>
      <w:szCs w:val="32"/>
    </w:rPr>
  </w:style>
  <w:style w:type="paragraph" w:styleId="Balk3">
    <w:name w:val="heading 3"/>
    <w:basedOn w:val="Normal"/>
    <w:link w:val="Balk3Char"/>
    <w:uiPriority w:val="9"/>
    <w:qFormat/>
    <w:pPr>
      <w:spacing w:before="100" w:beforeAutospacing="1" w:after="100" w:afterAutospacing="1"/>
      <w:outlineLvl w:val="2"/>
    </w:pPr>
    <w:rPr>
      <w:b/>
      <w:bCs/>
      <w:sz w:val="27"/>
      <w:szCs w:val="27"/>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Kpr">
    <w:name w:val="Hyperlink"/>
    <w:basedOn w:val="VarsaylanParagrafYazTipi"/>
    <w:uiPriority w:val="99"/>
    <w:semiHidden/>
    <w:unhideWhenUsed/>
    <w:rPr>
      <w:color w:val="0000FF"/>
      <w:u w:val="single"/>
    </w:rPr>
  </w:style>
  <w:style w:type="character" w:styleId="zlenenKpr">
    <w:name w:val="FollowedHyperlink"/>
    <w:basedOn w:val="VarsaylanParagrafYazTipi"/>
    <w:uiPriority w:val="99"/>
    <w:semiHidden/>
    <w:unhideWhenUsed/>
    <w:rPr>
      <w:color w:val="800080"/>
      <w:u w:val="single"/>
    </w:rPr>
  </w:style>
  <w:style w:type="character" w:customStyle="1" w:styleId="Balk1Char">
    <w:name w:val="Başlık 1 Char"/>
    <w:basedOn w:val="VarsaylanParagrafYazTipi"/>
    <w:link w:val="Balk1"/>
    <w:uiPriority w:val="9"/>
    <w:rPr>
      <w:rFonts w:asciiTheme="majorHAnsi" w:eastAsiaTheme="majorEastAsia" w:hAnsiTheme="majorHAnsi" w:cstheme="majorBidi"/>
      <w:color w:val="2E74B5" w:themeColor="accent1" w:themeShade="BF"/>
      <w:sz w:val="32"/>
      <w:szCs w:val="32"/>
    </w:rPr>
  </w:style>
  <w:style w:type="character" w:customStyle="1" w:styleId="Balk2Char">
    <w:name w:val="Başlık 2 Char"/>
    <w:basedOn w:val="VarsaylanParagrafYazTipi"/>
    <w:link w:val="Balk2"/>
    <w:uiPriority w:val="9"/>
    <w:semiHidden/>
    <w:rPr>
      <w:rFonts w:asciiTheme="majorHAnsi" w:eastAsiaTheme="majorEastAsia" w:hAnsiTheme="majorHAnsi" w:cstheme="majorBidi"/>
      <w:color w:val="2E74B5" w:themeColor="accent1" w:themeShade="BF"/>
      <w:sz w:val="26"/>
      <w:szCs w:val="26"/>
    </w:rPr>
  </w:style>
  <w:style w:type="character" w:customStyle="1" w:styleId="Balk3Char">
    <w:name w:val="Başlık 3 Char"/>
    <w:basedOn w:val="VarsaylanParagrafYazTipi"/>
    <w:link w:val="Balk3"/>
    <w:uiPriority w:val="9"/>
    <w:semiHidden/>
    <w:rPr>
      <w:rFonts w:asciiTheme="majorHAnsi" w:eastAsiaTheme="majorEastAsia" w:hAnsiTheme="majorHAnsi" w:cstheme="majorBidi"/>
      <w:color w:val="1F4D78" w:themeColor="accent1" w:themeShade="7F"/>
      <w:sz w:val="24"/>
      <w:szCs w:val="24"/>
    </w:rPr>
  </w:style>
  <w:style w:type="paragraph" w:styleId="HTMLncedenBiimlendirilmi">
    <w:name w:val="HTML Preformatted"/>
    <w:basedOn w:val="Normal"/>
    <w:link w:val="HTMLncedenBiimlendirilmiChar"/>
    <w:uiPriority w:val="99"/>
    <w:semiHidden/>
    <w:unhideWhenUs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ncedenBiimlendirilmiChar">
    <w:name w:val="HTML Önceden Biçimlendirilmiş Char"/>
    <w:basedOn w:val="VarsaylanParagrafYazTipi"/>
    <w:link w:val="HTMLncedenBiimlendirilmi"/>
    <w:uiPriority w:val="99"/>
    <w:semiHidden/>
    <w:rPr>
      <w:rFonts w:ascii="Consolas" w:eastAsiaTheme="minorEastAsia" w:hAnsi="Consolas"/>
    </w:rPr>
  </w:style>
  <w:style w:type="paragraph" w:styleId="NormalWeb">
    <w:name w:val="Normal (Web)"/>
    <w:basedOn w:val="Normal"/>
    <w:uiPriority w:val="99"/>
    <w:semiHidden/>
    <w:unhideWhenUsed/>
    <w:pPr>
      <w:spacing w:before="100" w:beforeAutospacing="1" w:after="100" w:afterAutospacing="1"/>
    </w:pPr>
  </w:style>
  <w:style w:type="paragraph" w:customStyle="1" w:styleId="urobrhead">
    <w:name w:val="urobr_head"/>
    <w:basedOn w:val="Normal"/>
    <w:pPr>
      <w:pBdr>
        <w:top w:val="single" w:sz="6" w:space="0" w:color="0000FF"/>
        <w:left w:val="single" w:sz="48" w:space="0" w:color="0000FF"/>
        <w:bottom w:val="single" w:sz="6" w:space="0" w:color="0000FF"/>
        <w:right w:val="single" w:sz="6" w:space="0" w:color="0000FF"/>
      </w:pBdr>
      <w:shd w:val="clear" w:color="auto" w:fill="EEEEFF"/>
      <w:spacing w:before="100" w:beforeAutospacing="1" w:after="100" w:afterAutospacing="1"/>
    </w:pPr>
    <w:rPr>
      <w:sz w:val="20"/>
      <w:szCs w:val="20"/>
    </w:rPr>
  </w:style>
  <w:style w:type="paragraph" w:customStyle="1" w:styleId="urobrheadold">
    <w:name w:val="urobr_head_old"/>
    <w:basedOn w:val="Normal"/>
    <w:pPr>
      <w:shd w:val="clear" w:color="auto" w:fill="EEEEEE"/>
      <w:spacing w:before="100" w:beforeAutospacing="1" w:after="100" w:afterAutospacing="1"/>
    </w:pPr>
  </w:style>
  <w:style w:type="paragraph" w:customStyle="1" w:styleId="urobrbody">
    <w:name w:val="urobr_body"/>
    <w:basedOn w:val="Normal"/>
    <w:pPr>
      <w:pBdr>
        <w:top w:val="single" w:sz="2" w:space="4" w:color="0000FF"/>
        <w:left w:val="single" w:sz="12" w:space="4" w:color="0000FF"/>
        <w:bottom w:val="single" w:sz="6" w:space="4" w:color="0000FF"/>
        <w:right w:val="single" w:sz="6" w:space="4" w:color="0000FF"/>
      </w:pBdr>
      <w:spacing w:before="100" w:beforeAutospacing="1" w:after="100" w:afterAutospacing="1"/>
    </w:pPr>
  </w:style>
  <w:style w:type="paragraph" w:customStyle="1" w:styleId="urobrbodyold">
    <w:name w:val="urobr_body_old"/>
    <w:basedOn w:val="Normal"/>
    <w:pPr>
      <w:spacing w:before="100" w:beforeAutospacing="1" w:after="100" w:afterAutospacing="1"/>
    </w:pPr>
  </w:style>
  <w:style w:type="paragraph" w:customStyle="1" w:styleId="collapsedblock">
    <w:name w:val="collapsed_block"/>
    <w:basedOn w:val="Normal"/>
    <w:pPr>
      <w:spacing w:before="100" w:beforeAutospacing="1" w:after="100" w:afterAutospacing="1"/>
    </w:pPr>
  </w:style>
  <w:style w:type="paragraph" w:customStyle="1" w:styleId="highlight">
    <w:name w:val="highlight"/>
    <w:basedOn w:val="Normal"/>
    <w:pPr>
      <w:shd w:val="clear" w:color="auto" w:fill="FFFF55"/>
      <w:spacing w:before="100" w:beforeAutospacing="1" w:after="100" w:afterAutospacing="1"/>
    </w:pPr>
  </w:style>
  <w:style w:type="paragraph" w:customStyle="1" w:styleId="highlightsoft">
    <w:name w:val="highlightsoft"/>
    <w:basedOn w:val="Normal"/>
    <w:pPr>
      <w:shd w:val="clear" w:color="auto" w:fill="FFCCFF"/>
      <w:spacing w:before="100" w:beforeAutospacing="1" w:after="100" w:afterAutospacing="1"/>
    </w:pPr>
  </w:style>
  <w:style w:type="paragraph" w:customStyle="1" w:styleId="right">
    <w:name w:val="right"/>
    <w:basedOn w:val="Normal"/>
    <w:pPr>
      <w:spacing w:before="100" w:beforeAutospacing="1" w:after="300"/>
      <w:jc w:val="right"/>
    </w:pPr>
  </w:style>
  <w:style w:type="paragraph" w:customStyle="1" w:styleId="center">
    <w:name w:val="center"/>
    <w:basedOn w:val="Normal"/>
    <w:pPr>
      <w:spacing w:before="100" w:beforeAutospacing="1" w:after="100" w:afterAutospacing="1"/>
      <w:jc w:val="center"/>
    </w:pPr>
  </w:style>
  <w:style w:type="paragraph" w:customStyle="1" w:styleId="ordw-center">
    <w:name w:val="ordw-center"/>
    <w:basedOn w:val="Normal"/>
    <w:pPr>
      <w:jc w:val="center"/>
    </w:pPr>
  </w:style>
  <w:style w:type="paragraph" w:customStyle="1" w:styleId="scrolltable">
    <w:name w:val="scroll_table"/>
    <w:basedOn w:val="Normal"/>
    <w:pPr>
      <w:spacing w:before="100" w:beforeAutospacing="1" w:after="100" w:afterAutospacing="1"/>
    </w:pPr>
  </w:style>
  <w:style w:type="paragraph" w:customStyle="1" w:styleId="scrollpre">
    <w:name w:val="scroll_pre"/>
    <w:basedOn w:val="Normal"/>
    <w:pPr>
      <w:spacing w:before="100" w:beforeAutospacing="1" w:after="100" w:afterAutospacing="1"/>
    </w:pPr>
  </w:style>
  <w:style w:type="paragraph" w:customStyle="1" w:styleId="ordw-header">
    <w:name w:val="ordw-header"/>
    <w:basedOn w:val="Normal"/>
    <w:pPr>
      <w:spacing w:before="100" w:beforeAutospacing="1" w:after="100" w:afterAutospacing="1"/>
      <w:jc w:val="center"/>
    </w:pPr>
    <w:rPr>
      <w:b/>
      <w:bCs/>
    </w:rPr>
  </w:style>
  <w:style w:type="paragraph" w:customStyle="1" w:styleId="ordw-justify">
    <w:name w:val="ordw-justify"/>
    <w:basedOn w:val="Normal"/>
    <w:pPr>
      <w:jc w:val="both"/>
    </w:pPr>
  </w:style>
  <w:style w:type="paragraph" w:customStyle="1" w:styleId="ordw-right">
    <w:name w:val="ordw-right"/>
    <w:basedOn w:val="Normal"/>
    <w:pPr>
      <w:jc w:val="right"/>
    </w:pPr>
  </w:style>
  <w:style w:type="paragraph" w:customStyle="1" w:styleId="ordw-img">
    <w:name w:val="ordw-img"/>
    <w:basedOn w:val="Normal"/>
    <w:pPr>
      <w:spacing w:before="100" w:beforeAutospacing="1" w:after="100" w:afterAutospacing="1"/>
      <w:textAlignment w:val="center"/>
    </w:pPr>
  </w:style>
  <w:style w:type="paragraph" w:customStyle="1" w:styleId="ordw-table-0">
    <w:name w:val="ordw-table-0"/>
    <w:basedOn w:val="Normal"/>
    <w:pPr>
      <w:spacing w:before="100" w:beforeAutospacing="1" w:after="100" w:afterAutospacing="1"/>
    </w:pPr>
  </w:style>
  <w:style w:type="paragraph" w:customStyle="1" w:styleId="ordw-table-1">
    <w:name w:val="ordw-table-1"/>
    <w:basedOn w:val="Normal"/>
    <w:pPr>
      <w:pBdr>
        <w:top w:val="single" w:sz="6" w:space="0" w:color="CCCCCC"/>
        <w:left w:val="single" w:sz="6" w:space="0" w:color="CCCCCC"/>
        <w:bottom w:val="single" w:sz="6" w:space="0" w:color="CCCCCC"/>
        <w:right w:val="single" w:sz="6" w:space="0" w:color="CCCCCC"/>
      </w:pBdr>
      <w:spacing w:before="100" w:beforeAutospacing="1" w:after="100" w:afterAutospacing="1"/>
    </w:pPr>
  </w:style>
  <w:style w:type="paragraph" w:customStyle="1" w:styleId="ordw-table-2">
    <w:name w:val="ordw-table-2"/>
    <w:basedOn w:val="Normal"/>
    <w:pPr>
      <w:spacing w:before="100" w:beforeAutospacing="1" w:after="100" w:afterAutospacing="1"/>
    </w:pPr>
  </w:style>
  <w:style w:type="paragraph" w:customStyle="1" w:styleId="ordw-table-3">
    <w:name w:val="ordw-table-3"/>
    <w:basedOn w:val="Normal"/>
    <w:pPr>
      <w:pBdr>
        <w:top w:val="single" w:sz="6" w:space="0" w:color="CCCCCC"/>
        <w:left w:val="single" w:sz="6" w:space="0" w:color="CCCCCC"/>
        <w:bottom w:val="single" w:sz="6" w:space="0" w:color="CCCCCC"/>
        <w:right w:val="single" w:sz="6" w:space="0" w:color="CCCCCC"/>
      </w:pBdr>
      <w:spacing w:before="100" w:beforeAutospacing="1" w:after="100" w:afterAutospacing="1"/>
    </w:pPr>
  </w:style>
  <w:style w:type="paragraph" w:customStyle="1" w:styleId="ordw-table-wrapper">
    <w:name w:val="ordw-table-wrapper"/>
    <w:basedOn w:val="Normal"/>
    <w:pPr>
      <w:pBdr>
        <w:top w:val="single" w:sz="6" w:space="0" w:color="CCCCCC"/>
        <w:left w:val="single" w:sz="6" w:space="0" w:color="CCCCCC"/>
        <w:bottom w:val="single" w:sz="6" w:space="0" w:color="CCCCCC"/>
        <w:right w:val="single" w:sz="6" w:space="0" w:color="CCCCCC"/>
      </w:pBdr>
      <w:spacing w:before="100" w:beforeAutospacing="1" w:after="100" w:afterAutospacing="1"/>
    </w:pPr>
  </w:style>
  <w:style w:type="paragraph" w:customStyle="1" w:styleId="ordw-comment">
    <w:name w:val="ordw-comment"/>
    <w:basedOn w:val="Normal"/>
    <w:pPr>
      <w:spacing w:before="100" w:beforeAutospacing="1" w:after="100" w:afterAutospacing="1"/>
    </w:pPr>
    <w:rPr>
      <w:color w:val="00923E"/>
    </w:rPr>
  </w:style>
  <w:style w:type="paragraph" w:customStyle="1" w:styleId="ordw-label">
    <w:name w:val="ordw-label"/>
    <w:basedOn w:val="Normal"/>
    <w:pPr>
      <w:spacing w:before="100" w:beforeAutospacing="1" w:after="100" w:afterAutospacing="1" w:line="480" w:lineRule="auto"/>
    </w:pPr>
  </w:style>
  <w:style w:type="paragraph" w:customStyle="1" w:styleId="ordw-expand">
    <w:name w:val="ordw-expand"/>
    <w:basedOn w:val="Normal"/>
    <w:pPr>
      <w:spacing w:before="100" w:beforeAutospacing="1" w:after="75"/>
    </w:pPr>
  </w:style>
  <w:style w:type="paragraph" w:customStyle="1" w:styleId="old">
    <w:name w:val="old"/>
    <w:basedOn w:val="Normal"/>
    <w:pPr>
      <w:spacing w:before="100" w:beforeAutospacing="1" w:after="100" w:afterAutospacing="1"/>
    </w:pPr>
  </w:style>
  <w:style w:type="paragraph" w:customStyle="1" w:styleId="new">
    <w:name w:val="new"/>
    <w:basedOn w:val="Normal"/>
    <w:pPr>
      <w:spacing w:before="100" w:beforeAutospacing="1" w:after="100" w:afterAutospacing="1"/>
    </w:pPr>
  </w:style>
  <w:style w:type="paragraph" w:customStyle="1" w:styleId="old1">
    <w:name w:val="old1"/>
    <w:basedOn w:val="Normal"/>
    <w:pPr>
      <w:shd w:val="clear" w:color="auto" w:fill="DDDDDD"/>
      <w:ind w:firstLine="240"/>
    </w:pPr>
    <w:rPr>
      <w:vanish/>
      <w:color w:val="CC0000"/>
    </w:rPr>
  </w:style>
  <w:style w:type="paragraph" w:customStyle="1" w:styleId="new1">
    <w:name w:val="new1"/>
    <w:basedOn w:val="Normal"/>
    <w:pPr>
      <w:shd w:val="clear" w:color="auto" w:fill="FFFFFF"/>
      <w:ind w:firstLine="240"/>
    </w:pPr>
    <w:rPr>
      <w:color w:val="00AA00"/>
    </w:rPr>
  </w:style>
  <w:style w:type="paragraph" w:customStyle="1" w:styleId="ordw-urobr">
    <w:name w:val="ordw-urobr"/>
    <w:basedOn w:val="Normal"/>
    <w:pPr>
      <w:shd w:val="clear" w:color="auto" w:fill="FFFFFF"/>
      <w:spacing w:before="100" w:beforeAutospacing="1" w:after="100" w:afterAutospacing="1"/>
    </w:pPr>
  </w:style>
  <w:style w:type="paragraph" w:customStyle="1" w:styleId="content-old">
    <w:name w:val="content-old"/>
    <w:basedOn w:val="Normal"/>
    <w:pPr>
      <w:spacing w:before="100" w:beforeAutospacing="1" w:after="100" w:afterAutospacing="1"/>
    </w:pPr>
  </w:style>
  <w:style w:type="paragraph" w:customStyle="1" w:styleId="old2">
    <w:name w:val="old2"/>
    <w:basedOn w:val="Normal"/>
    <w:pPr>
      <w:shd w:val="clear" w:color="auto" w:fill="DDDDDD"/>
      <w:ind w:firstLine="240"/>
    </w:pPr>
    <w:rPr>
      <w:vanish/>
      <w:color w:val="CC0000"/>
    </w:rPr>
  </w:style>
  <w:style w:type="paragraph" w:customStyle="1" w:styleId="new2">
    <w:name w:val="new2"/>
    <w:basedOn w:val="Normal"/>
    <w:pPr>
      <w:shd w:val="clear" w:color="auto" w:fill="FFFFFF"/>
      <w:ind w:firstLine="240"/>
    </w:pPr>
    <w:rPr>
      <w:vanish/>
      <w:color w:val="00AA00"/>
    </w:rPr>
  </w:style>
  <w:style w:type="paragraph" w:customStyle="1" w:styleId="content-old1">
    <w:name w:val="content-old1"/>
    <w:basedOn w:val="Normal"/>
    <w:pPr>
      <w:spacing w:before="100" w:beforeAutospacing="1" w:after="100" w:afterAutospacing="1"/>
    </w:pPr>
    <w:rPr>
      <w:vanish/>
      <w:color w:val="BBBBB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863479">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tnved\code\1003900000\"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file:///C:\tnved\code\1001990000\" TargetMode="External"/><Relationship Id="rId12" Type="http://schemas.openxmlformats.org/officeDocument/2006/relationships/hyperlink" Target="file:///C:\tamdoc\24ps157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C:\tnved\code\1001190000\" TargetMode="External"/><Relationship Id="rId11" Type="http://schemas.openxmlformats.org/officeDocument/2006/relationships/hyperlink" Target="file:///C:\tamdoc\24ps1577\" TargetMode="External"/><Relationship Id="rId5" Type="http://schemas.openxmlformats.org/officeDocument/2006/relationships/hyperlink" Target="file:///C:\tamdoc\21ps2595\" TargetMode="External"/><Relationship Id="rId10" Type="http://schemas.openxmlformats.org/officeDocument/2006/relationships/hyperlink" Target="file:///C:\tnved\code\1002900000\" TargetMode="External"/><Relationship Id="rId4" Type="http://schemas.openxmlformats.org/officeDocument/2006/relationships/hyperlink" Target="file:///C:\tamdoc\21ps2595\" TargetMode="External"/><Relationship Id="rId9" Type="http://schemas.openxmlformats.org/officeDocument/2006/relationships/hyperlink" Target="file:///C:\tnved\code\1005900000\" TargetMode="Externa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1220</Words>
  <Characters>6956</Characters>
  <Application>Microsoft Office Word</Application>
  <DocSecurity>0</DocSecurity>
  <Lines>57</Lines>
  <Paragraphs>16</Paragraphs>
  <ScaleCrop>false</ScaleCrop>
  <HeadingPairs>
    <vt:vector size="2" baseType="variant">
      <vt:variant>
        <vt:lpstr>Konu Başlığı</vt:lpstr>
      </vt:variant>
      <vt:variant>
        <vt:i4>1</vt:i4>
      </vt:variant>
    </vt:vector>
  </HeadingPairs>
  <TitlesOfParts>
    <vt:vector size="1" baseType="lpstr">
      <vt:lpstr>Постановление Правительства РФ от 22.12.2025 № 2089 "О внесении изменений в постановление Правительства Российской Федерации от 31 декабря 2021 г. N 2595". Таможенные документы :: Альта-Софт</vt:lpstr>
    </vt:vector>
  </TitlesOfParts>
  <Company/>
  <LinksUpToDate>false</LinksUpToDate>
  <CharactersWithSpaces>8160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22.12.2025 № 2089 "О внесении изменений в постановление Правительства Российской Федерации от 31 декабря 2021 г. N 2595". Таможенные документы :: Альта-Софт</dc:title>
  <dc:subject/>
  <dc:creator>Çiğdem ŞAMİLOĞLU E</dc:creator>
  <cp:keywords/>
  <dc:description/>
  <cp:lastModifiedBy>Çiğdem ŞAMİLOĞLU E</cp:lastModifiedBy>
  <cp:revision>3</cp:revision>
  <dcterms:created xsi:type="dcterms:W3CDTF">2025-12-30T13:40:00Z</dcterms:created>
  <dcterms:modified xsi:type="dcterms:W3CDTF">2025-12-30T13:42:00Z</dcterms:modified>
</cp:coreProperties>
</file>