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5292"/>
      </w:tblGrid>
      <w:tr w:rsidR="00570538" w:rsidTr="00570538">
        <w:trPr>
          <w:gridAfter w:val="1"/>
          <w:wAfter w:w="5780" w:type="dxa"/>
          <w:trHeight w:val="184"/>
          <w:jc w:val="center"/>
        </w:trPr>
        <w:tc>
          <w:tcPr>
            <w:tcW w:w="273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538" w:rsidRDefault="00570538">
            <w:pPr>
              <w:spacing w:line="240" w:lineRule="atLeast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23 Aralık 2017 CUMARTESİ</w:t>
            </w:r>
          </w:p>
        </w:tc>
      </w:tr>
      <w:tr w:rsidR="00570538" w:rsidTr="00570538">
        <w:trPr>
          <w:trHeight w:val="207"/>
          <w:jc w:val="center"/>
        </w:trPr>
        <w:tc>
          <w:tcPr>
            <w:tcW w:w="85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538" w:rsidRDefault="00570538">
            <w:pPr>
              <w:spacing w:before="100" w:beforeAutospacing="1" w:after="100" w:afterAutospacing="1" w:line="207" w:lineRule="atLeast"/>
              <w:jc w:val="center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570538" w:rsidTr="00570538">
        <w:trPr>
          <w:trHeight w:val="12541"/>
          <w:jc w:val="center"/>
        </w:trPr>
        <w:tc>
          <w:tcPr>
            <w:tcW w:w="85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sz w:val="18"/>
                <w:szCs w:val="18"/>
                <w:u w:val="single"/>
                <w:lang w:eastAsia="tr-TR"/>
              </w:rPr>
              <w:t>Ekonomi Bakanlığından</w:t>
            </w:r>
            <w:r>
              <w:rPr>
                <w:rFonts w:ascii="&amp;quot" w:hAnsi="&amp;quot"/>
                <w:sz w:val="18"/>
                <w:szCs w:val="18"/>
                <w:lang w:eastAsia="tr-TR"/>
              </w:rPr>
              <w:t>:</w:t>
            </w:r>
          </w:p>
          <w:p w:rsidR="00570538" w:rsidRDefault="00570538">
            <w:pPr>
              <w:spacing w:line="240" w:lineRule="atLeast"/>
              <w:jc w:val="center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b/>
                <w:bCs/>
                <w:sz w:val="18"/>
                <w:szCs w:val="18"/>
                <w:lang w:eastAsia="tr-TR"/>
              </w:rPr>
              <w:t>İTHALATTA HAKSIZ REKABETİN ÖNLENMESİNE İLİŞKİN TEBLİĞ</w:t>
            </w:r>
          </w:p>
          <w:p w:rsidR="00570538" w:rsidRDefault="00570538">
            <w:pPr>
              <w:spacing w:line="240" w:lineRule="atLeast"/>
              <w:jc w:val="center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b/>
                <w:bCs/>
                <w:sz w:val="18"/>
                <w:szCs w:val="18"/>
                <w:lang w:eastAsia="tr-TR"/>
              </w:rPr>
              <w:t>(TEBLİĞ NO: 2017/35)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b/>
                <w:bCs/>
                <w:sz w:val="18"/>
                <w:szCs w:val="18"/>
                <w:lang w:eastAsia="tr-TR"/>
              </w:rPr>
              <w:t>Amaç ve kapsam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b/>
                <w:bCs/>
                <w:sz w:val="18"/>
                <w:szCs w:val="18"/>
                <w:lang w:eastAsia="tr-TR"/>
              </w:rPr>
              <w:t>MADDE 1 –</w:t>
            </w:r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(1) Bu Tebliğin amacı, 24/6/2016 tarihli ve 29752 sayılı Resmî </w:t>
            </w:r>
            <w:proofErr w:type="spellStart"/>
            <w:r>
              <w:rPr>
                <w:rFonts w:ascii="&amp;quot" w:hAnsi="&amp;quot"/>
                <w:sz w:val="18"/>
                <w:szCs w:val="18"/>
                <w:lang w:eastAsia="tr-TR"/>
              </w:rPr>
              <w:t>Gazete’de</w:t>
            </w:r>
            <w:proofErr w:type="spellEnd"/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yayımlanan İthalatta Haksız Rekabetin Önlenmesine İlişkin Tebliğ (Tebliğ No: 2016/20) ile Rusya Federasyonu menşeli 7005.29 gümrük tarife pozisyonlu “Diğerleri” eşya tanımlı renksiz </w:t>
            </w:r>
            <w:proofErr w:type="spellStart"/>
            <w:r>
              <w:rPr>
                <w:rFonts w:ascii="&amp;quot" w:hAnsi="&amp;quot"/>
                <w:sz w:val="18"/>
                <w:szCs w:val="18"/>
                <w:lang w:eastAsia="tr-TR"/>
              </w:rPr>
              <w:t>düzcam</w:t>
            </w:r>
            <w:proofErr w:type="spellEnd"/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ithalatına yönelik olarak başlatılan ve T.C. Ekonomi Bakanlığı İthalat Genel Müdürlüğü tarafından yürütülen </w:t>
            </w:r>
            <w:proofErr w:type="gramStart"/>
            <w:r>
              <w:rPr>
                <w:rFonts w:ascii="&amp;quot" w:hAnsi="&amp;quot"/>
                <w:sz w:val="18"/>
                <w:szCs w:val="18"/>
                <w:lang w:eastAsia="tr-TR"/>
              </w:rPr>
              <w:t>damping</w:t>
            </w:r>
            <w:proofErr w:type="gramEnd"/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soruşturmasının tamamlanması neticesinde alınan kararın yürürlüğe konulmasıdır. 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b/>
                <w:bCs/>
                <w:sz w:val="18"/>
                <w:szCs w:val="18"/>
                <w:lang w:eastAsia="tr-TR"/>
              </w:rPr>
              <w:t>MADDE 2 –</w:t>
            </w:r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(1) Bu Tebliğ, </w:t>
            </w:r>
            <w:proofErr w:type="gramStart"/>
            <w:r>
              <w:rPr>
                <w:rFonts w:ascii="&amp;quot" w:hAnsi="&amp;quot"/>
                <w:sz w:val="18"/>
                <w:szCs w:val="18"/>
                <w:lang w:eastAsia="tr-TR"/>
              </w:rPr>
              <w:t>14/6/1989</w:t>
            </w:r>
            <w:proofErr w:type="gramEnd"/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tarihli ve 3577 sayılı İthalatta Haksız Rekabetin Önlenmesi Hakkında Kanun, 20/10/1999 tarihli ve 99/13482 sayılı Bakanlar Kurulu Kararı ile yürürlüğe konulan İthalatta Haksız Rekabetin Önlenmesi Hakkında Karar ve 30/10/1999 tarihli ve 23861 sayılı Resmî </w:t>
            </w:r>
            <w:proofErr w:type="spellStart"/>
            <w:r>
              <w:rPr>
                <w:rFonts w:ascii="&amp;quot" w:hAnsi="&amp;quot"/>
                <w:sz w:val="18"/>
                <w:szCs w:val="18"/>
                <w:lang w:eastAsia="tr-TR"/>
              </w:rPr>
              <w:t>Gazete’de</w:t>
            </w:r>
            <w:proofErr w:type="spellEnd"/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yayımlanan İthalatta Haksız Rekabetin Önlenmesi Hakkında Yönetmeliğe dayanılarak hazırlanmıştır.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b/>
                <w:bCs/>
                <w:sz w:val="18"/>
                <w:szCs w:val="18"/>
                <w:lang w:eastAsia="tr-TR"/>
              </w:rPr>
              <w:t>Tanımlar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b/>
                <w:bCs/>
                <w:sz w:val="18"/>
                <w:szCs w:val="18"/>
                <w:lang w:eastAsia="tr-TR"/>
              </w:rPr>
              <w:t>MADDE 3 –</w:t>
            </w:r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(1) Bu Tebliğde geçen;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a) </w:t>
            </w:r>
            <w:proofErr w:type="spellStart"/>
            <w:r>
              <w:rPr>
                <w:rFonts w:ascii="&amp;quot" w:hAnsi="&amp;quot"/>
                <w:sz w:val="18"/>
                <w:szCs w:val="18"/>
                <w:lang w:eastAsia="tr-TR"/>
              </w:rPr>
              <w:t>GTP</w:t>
            </w:r>
            <w:proofErr w:type="spellEnd"/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: Gümrük Tarife Pozisyonunu, 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sz w:val="18"/>
                <w:szCs w:val="18"/>
                <w:lang w:eastAsia="tr-TR"/>
              </w:rPr>
              <w:t>b) Kurul: İthalatta Haksız Rekabeti Değerlendirme Kurulunu,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c) </w:t>
            </w:r>
            <w:proofErr w:type="spellStart"/>
            <w:r>
              <w:rPr>
                <w:rFonts w:ascii="&amp;quot" w:hAnsi="&amp;quot"/>
                <w:sz w:val="18"/>
                <w:szCs w:val="18"/>
                <w:lang w:eastAsia="tr-TR"/>
              </w:rPr>
              <w:t>TGTC</w:t>
            </w:r>
            <w:proofErr w:type="spellEnd"/>
            <w:r>
              <w:rPr>
                <w:rFonts w:ascii="&amp;quot" w:hAnsi="&amp;quot"/>
                <w:sz w:val="18"/>
                <w:szCs w:val="18"/>
                <w:lang w:eastAsia="tr-TR"/>
              </w:rPr>
              <w:t>: İstatistik Pozisyonlarına Bölünmüş Tür</w:t>
            </w:r>
            <w:bookmarkStart w:id="0" w:name="_GoBack"/>
            <w:bookmarkEnd w:id="0"/>
            <w:r>
              <w:rPr>
                <w:rFonts w:ascii="&amp;quot" w:hAnsi="&amp;quot"/>
                <w:sz w:val="18"/>
                <w:szCs w:val="18"/>
                <w:lang w:eastAsia="tr-TR"/>
              </w:rPr>
              <w:t>k Gümrük Tarife Cetvelini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&amp;quot" w:hAnsi="&amp;quot"/>
                <w:sz w:val="18"/>
                <w:szCs w:val="18"/>
                <w:lang w:eastAsia="tr-TR"/>
              </w:rPr>
              <w:t>ifade</w:t>
            </w:r>
            <w:proofErr w:type="gramEnd"/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eder.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b/>
                <w:bCs/>
                <w:sz w:val="18"/>
                <w:szCs w:val="18"/>
                <w:lang w:eastAsia="tr-TR"/>
              </w:rPr>
              <w:t>Karar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b/>
                <w:bCs/>
                <w:sz w:val="18"/>
                <w:szCs w:val="18"/>
                <w:lang w:eastAsia="tr-TR"/>
              </w:rPr>
              <w:t>MADDE 4 –</w:t>
            </w:r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(1) Yürütülen soruşturma sonucunda, Rusya Federasyonu menşeli soruşturma konusu ürünün ithalatının </w:t>
            </w:r>
            <w:proofErr w:type="gramStart"/>
            <w:r>
              <w:rPr>
                <w:rFonts w:ascii="&amp;quot" w:hAnsi="&amp;quot"/>
                <w:sz w:val="18"/>
                <w:szCs w:val="18"/>
                <w:lang w:eastAsia="tr-TR"/>
              </w:rPr>
              <w:t>dampingli</w:t>
            </w:r>
            <w:proofErr w:type="gramEnd"/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olduğu ve yerli üretim dalında maddi zarar tehdidine neden olduğu tespit edilmiştir. Soruşturma kapsamındaki bilgi, bulgu ve tespitleri içeren ve bu Tebliğin hukuken bir parçası olan “Bilgilendirme </w:t>
            </w:r>
            <w:proofErr w:type="spellStart"/>
            <w:r>
              <w:rPr>
                <w:rFonts w:ascii="&amp;quot" w:hAnsi="&amp;quot"/>
                <w:sz w:val="18"/>
                <w:szCs w:val="18"/>
                <w:lang w:eastAsia="tr-TR"/>
              </w:rPr>
              <w:t>Raporu”na</w:t>
            </w:r>
            <w:proofErr w:type="spellEnd"/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“</w:t>
            </w:r>
            <w:hyperlink r:id="rId5" w:history="1">
              <w:r>
                <w:rPr>
                  <w:rStyle w:val="Kpr"/>
                  <w:rFonts w:ascii="&amp;quot" w:hAnsi="&amp;quot"/>
                  <w:sz w:val="18"/>
                  <w:szCs w:val="18"/>
                  <w:lang w:eastAsia="tr-TR"/>
                </w:rPr>
                <w:t>www.tpsa.gov.tr</w:t>
              </w:r>
            </w:hyperlink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” internet adresinden “Damping ve Sübvansiyon- Bilgilendirme Raporları” bağlantıları seçilerek ulaşılması mümkündür. </w:t>
            </w:r>
          </w:p>
          <w:p w:rsidR="00570538" w:rsidRDefault="00570538">
            <w:pPr>
              <w:spacing w:after="200" w:line="240" w:lineRule="atLeast"/>
              <w:ind w:firstLine="567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(2) Bu çerçevede, soruşturma neticesinde ulaşılan tespitleri değerlendiren Kurulun kararı ve Ekonomi Bakanının onayı ile tabloda </w:t>
            </w:r>
            <w:proofErr w:type="spellStart"/>
            <w:r>
              <w:rPr>
                <w:rFonts w:ascii="&amp;quot" w:hAnsi="&amp;quot"/>
                <w:sz w:val="18"/>
                <w:szCs w:val="18"/>
                <w:lang w:eastAsia="tr-TR"/>
              </w:rPr>
              <w:t>GTP’si</w:t>
            </w:r>
            <w:proofErr w:type="spellEnd"/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, eşya tanımı ve menşe ülkesi belirtilen eşyanın Türkiye’ye ithalatında aşağıdaki tabloda gösterilen oranlarda </w:t>
            </w:r>
            <w:proofErr w:type="gramStart"/>
            <w:r>
              <w:rPr>
                <w:rFonts w:ascii="&amp;quot" w:hAnsi="&amp;quot"/>
                <w:sz w:val="18"/>
                <w:szCs w:val="18"/>
                <w:lang w:eastAsia="tr-TR"/>
              </w:rPr>
              <w:t>dampinge</w:t>
            </w:r>
            <w:proofErr w:type="gramEnd"/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karşı kesin önlem uygulanmasına karar verilmiştir.</w:t>
            </w:r>
          </w:p>
          <w:tbl>
            <w:tblPr>
              <w:tblW w:w="850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  <w:gridCol w:w="1133"/>
              <w:gridCol w:w="1386"/>
              <w:gridCol w:w="3110"/>
              <w:gridCol w:w="1695"/>
            </w:tblGrid>
            <w:tr w:rsidR="00570538">
              <w:trPr>
                <w:trHeight w:val="480"/>
                <w:jc w:val="center"/>
              </w:trPr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70538" w:rsidRDefault="00570538">
                  <w:pPr>
                    <w:spacing w:line="240" w:lineRule="atLeast"/>
                    <w:jc w:val="center"/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  <w:proofErr w:type="spellStart"/>
                  <w:proofErr w:type="gramStart"/>
                  <w:r>
                    <w:rPr>
                      <w:rFonts w:ascii="&amp;quot" w:hAnsi="&amp;quot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G.T.P</w:t>
                  </w:r>
                  <w:proofErr w:type="spellEnd"/>
                  <w:proofErr w:type="gramEnd"/>
                  <w:r>
                    <w:rPr>
                      <w:rFonts w:ascii="&amp;quot" w:hAnsi="&amp;quot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70538" w:rsidRDefault="00570538">
                  <w:pPr>
                    <w:spacing w:line="240" w:lineRule="atLeast"/>
                    <w:jc w:val="center"/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&amp;quot" w:hAnsi="&amp;quot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Eşyanın Tanımı</w:t>
                  </w:r>
                </w:p>
              </w:tc>
              <w:tc>
                <w:tcPr>
                  <w:tcW w:w="125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70538" w:rsidRDefault="00570538">
                  <w:pPr>
                    <w:spacing w:line="240" w:lineRule="atLeast"/>
                    <w:jc w:val="center"/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&amp;quot" w:hAnsi="&amp;quot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Menşe Ülke</w:t>
                  </w:r>
                </w:p>
              </w:tc>
              <w:tc>
                <w:tcPr>
                  <w:tcW w:w="28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70538" w:rsidRDefault="00570538">
                  <w:pPr>
                    <w:spacing w:line="240" w:lineRule="atLeast"/>
                    <w:jc w:val="center"/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&amp;quot" w:hAnsi="&amp;quot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Firma Unvanı</w:t>
                  </w:r>
                </w:p>
              </w:tc>
              <w:tc>
                <w:tcPr>
                  <w:tcW w:w="15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70538" w:rsidRDefault="00570538">
                  <w:pPr>
                    <w:spacing w:line="240" w:lineRule="atLeast"/>
                    <w:jc w:val="center"/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&amp;quot" w:hAnsi="&amp;quot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Dampinge Karşı Önlem (CIF %)</w:t>
                  </w:r>
                </w:p>
              </w:tc>
            </w:tr>
            <w:tr w:rsidR="00570538">
              <w:trPr>
                <w:trHeight w:val="240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70538" w:rsidRDefault="00570538">
                  <w:pPr>
                    <w:spacing w:line="20" w:lineRule="atLeast"/>
                    <w:jc w:val="center"/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>7005.29</w:t>
                  </w:r>
                </w:p>
              </w:tc>
              <w:tc>
                <w:tcPr>
                  <w:tcW w:w="102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70538" w:rsidRDefault="00570538">
                  <w:pPr>
                    <w:spacing w:line="20" w:lineRule="atLeast"/>
                    <w:jc w:val="center"/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>Diğerleri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70538" w:rsidRDefault="00570538">
                  <w:pPr>
                    <w:spacing w:line="20" w:lineRule="atLeast"/>
                    <w:jc w:val="center"/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 xml:space="preserve">Rusya </w:t>
                  </w:r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br/>
                    <w:t>Federasyonu</w:t>
                  </w: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70538" w:rsidRDefault="00570538">
                  <w:pPr>
                    <w:spacing w:line="240" w:lineRule="atLeast"/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&amp;quot" w:hAnsi="&amp;quot"/>
                      <w:sz w:val="18"/>
                      <w:szCs w:val="18"/>
                      <w:lang w:eastAsia="tr-TR"/>
                    </w:rPr>
                    <w:t>Guardian</w:t>
                  </w:r>
                  <w:proofErr w:type="spellEnd"/>
                  <w:r>
                    <w:rPr>
                      <w:rFonts w:ascii="&amp;quot" w:hAnsi="&amp;quot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&amp;quot" w:hAnsi="&amp;quot"/>
                      <w:sz w:val="18"/>
                      <w:szCs w:val="18"/>
                      <w:lang w:eastAsia="tr-TR"/>
                    </w:rPr>
                    <w:t>Steklo</w:t>
                  </w:r>
                  <w:proofErr w:type="spellEnd"/>
                  <w:r>
                    <w:rPr>
                      <w:rFonts w:ascii="&amp;quot" w:hAnsi="&amp;quot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&amp;quot" w:hAnsi="&amp;quot"/>
                      <w:sz w:val="18"/>
                      <w:szCs w:val="18"/>
                      <w:lang w:eastAsia="tr-TR"/>
                    </w:rPr>
                    <w:t>Rostov</w:t>
                  </w:r>
                  <w:proofErr w:type="spellEnd"/>
                  <w:r>
                    <w:rPr>
                      <w:rFonts w:ascii="&amp;quot" w:hAnsi="&amp;quot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&amp;quot" w:hAnsi="&amp;quot"/>
                      <w:sz w:val="18"/>
                      <w:szCs w:val="18"/>
                      <w:lang w:eastAsia="tr-TR"/>
                    </w:rPr>
                    <w:t>LLC</w:t>
                  </w:r>
                  <w:proofErr w:type="spellEnd"/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70538" w:rsidRDefault="00570538">
                  <w:pPr>
                    <w:spacing w:line="240" w:lineRule="atLeast"/>
                    <w:jc w:val="center"/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>%8</w:t>
                  </w:r>
                </w:p>
              </w:tc>
            </w:tr>
            <w:tr w:rsidR="00570538">
              <w:trPr>
                <w:trHeight w:val="2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538" w:rsidRDefault="00570538">
                  <w:pPr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538" w:rsidRDefault="00570538">
                  <w:pPr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538" w:rsidRDefault="00570538">
                  <w:pPr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70538" w:rsidRDefault="00570538">
                  <w:pPr>
                    <w:spacing w:line="240" w:lineRule="atLeast"/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>Guardian</w:t>
                  </w:r>
                  <w:proofErr w:type="spellEnd"/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>Steklo</w:t>
                  </w:r>
                  <w:proofErr w:type="spellEnd"/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>Ryazan</w:t>
                  </w:r>
                  <w:proofErr w:type="spellEnd"/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>LLC</w:t>
                  </w:r>
                  <w:proofErr w:type="spellEnd"/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70538" w:rsidRDefault="00570538">
                  <w:pPr>
                    <w:spacing w:line="240" w:lineRule="atLeast"/>
                    <w:jc w:val="center"/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>%8</w:t>
                  </w:r>
                </w:p>
              </w:tc>
            </w:tr>
            <w:tr w:rsidR="00570538">
              <w:trPr>
                <w:trHeight w:val="2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538" w:rsidRDefault="00570538">
                  <w:pPr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538" w:rsidRDefault="00570538">
                  <w:pPr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538" w:rsidRDefault="00570538">
                  <w:pPr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70538" w:rsidRDefault="00570538">
                  <w:pPr>
                    <w:spacing w:line="240" w:lineRule="atLeast"/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>JSC</w:t>
                  </w:r>
                  <w:proofErr w:type="spellEnd"/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>Saratovstroysteklo</w:t>
                  </w:r>
                  <w:proofErr w:type="spellEnd"/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70538" w:rsidRDefault="00570538">
                  <w:pPr>
                    <w:spacing w:line="240" w:lineRule="atLeast"/>
                    <w:jc w:val="center"/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>%8</w:t>
                  </w:r>
                </w:p>
              </w:tc>
            </w:tr>
            <w:tr w:rsidR="00570538">
              <w:trPr>
                <w:trHeight w:val="2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538" w:rsidRDefault="00570538">
                  <w:pPr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538" w:rsidRDefault="00570538">
                  <w:pPr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538" w:rsidRDefault="00570538">
                  <w:pPr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8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70538" w:rsidRDefault="00570538">
                  <w:pPr>
                    <w:spacing w:line="240" w:lineRule="atLeast"/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>Diğerleri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70538" w:rsidRDefault="00570538">
                  <w:pPr>
                    <w:spacing w:line="240" w:lineRule="atLeast"/>
                    <w:jc w:val="center"/>
                    <w:rPr>
                      <w:rFonts w:ascii="&amp;quot" w:hAnsi="&amp;quot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&amp;quot" w:hAnsi="&amp;quot"/>
                      <w:color w:val="000000"/>
                      <w:sz w:val="18"/>
                      <w:szCs w:val="18"/>
                      <w:lang w:eastAsia="tr-TR"/>
                    </w:rPr>
                    <w:t>%10</w:t>
                  </w:r>
                </w:p>
              </w:tc>
            </w:tr>
          </w:tbl>
          <w:p w:rsidR="00570538" w:rsidRDefault="00570538">
            <w:pPr>
              <w:spacing w:line="240" w:lineRule="atLeast"/>
              <w:ind w:firstLine="567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b/>
                <w:bCs/>
                <w:sz w:val="18"/>
                <w:szCs w:val="18"/>
                <w:lang w:eastAsia="tr-TR"/>
              </w:rPr>
              <w:t>Uygulama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b/>
                <w:bCs/>
                <w:sz w:val="18"/>
                <w:szCs w:val="18"/>
                <w:lang w:eastAsia="tr-TR"/>
              </w:rPr>
              <w:t>MADDE 5 –</w:t>
            </w:r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(1) Gümrük idareleri, 4 üncü maddede </w:t>
            </w:r>
            <w:proofErr w:type="spellStart"/>
            <w:r>
              <w:rPr>
                <w:rFonts w:ascii="&amp;quot" w:hAnsi="&amp;quot"/>
                <w:sz w:val="18"/>
                <w:szCs w:val="18"/>
                <w:lang w:eastAsia="tr-TR"/>
              </w:rPr>
              <w:t>GTP</w:t>
            </w:r>
            <w:proofErr w:type="spellEnd"/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, eşya tanımı ve menşe ülkesi belirtilen eşyanın, diğer mevzuat hükümleri saklı kalmak kaydıyla, serbest dolaşıma giriş rejimi kapsamındaki ithalatında karşısında gösterilen oranlarda </w:t>
            </w:r>
            <w:proofErr w:type="gramStart"/>
            <w:r>
              <w:rPr>
                <w:rFonts w:ascii="&amp;quot" w:hAnsi="&amp;quot"/>
                <w:sz w:val="18"/>
                <w:szCs w:val="18"/>
                <w:lang w:eastAsia="tr-TR"/>
              </w:rPr>
              <w:t>dampinge</w:t>
            </w:r>
            <w:proofErr w:type="gramEnd"/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karşı kesin önlemi tahsil eder. 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(2) Bilgilendirme Raporunda soruşturma konusu ürün ve benzer ürün ile ilgili açıklamalar genel içerikli olup, uygulamaya esas olan yürürlükteki </w:t>
            </w:r>
            <w:proofErr w:type="spellStart"/>
            <w:r>
              <w:rPr>
                <w:rFonts w:ascii="&amp;quot" w:hAnsi="&amp;quot"/>
                <w:sz w:val="18"/>
                <w:szCs w:val="18"/>
                <w:lang w:eastAsia="tr-TR"/>
              </w:rPr>
              <w:t>TGTC’de</w:t>
            </w:r>
            <w:proofErr w:type="spellEnd"/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yer alan </w:t>
            </w:r>
            <w:proofErr w:type="spellStart"/>
            <w:r>
              <w:rPr>
                <w:rFonts w:ascii="&amp;quot" w:hAnsi="&amp;quot"/>
                <w:sz w:val="18"/>
                <w:szCs w:val="18"/>
                <w:lang w:eastAsia="tr-TR"/>
              </w:rPr>
              <w:t>GTP</w:t>
            </w:r>
            <w:proofErr w:type="spellEnd"/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ve 4 üncü maddede yer alan tablodaki eşya tanımıdır. 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(3) Önleme tabi ürünün yürürlükteki </w:t>
            </w:r>
            <w:proofErr w:type="spellStart"/>
            <w:r>
              <w:rPr>
                <w:rFonts w:ascii="&amp;quot" w:hAnsi="&amp;quot"/>
                <w:sz w:val="18"/>
                <w:szCs w:val="18"/>
                <w:lang w:eastAsia="tr-TR"/>
              </w:rPr>
              <w:t>TGTC’de</w:t>
            </w:r>
            <w:proofErr w:type="spellEnd"/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yer alan tarife pozisyonunda ve/veya tanımında yapılacak değişiklikler bu Tebliğ hükümlerinin uygulanmasına engel teşkil etmez.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b/>
                <w:bCs/>
                <w:sz w:val="18"/>
                <w:szCs w:val="18"/>
                <w:lang w:eastAsia="tr-TR"/>
              </w:rPr>
              <w:t xml:space="preserve">Yürürlük 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b/>
                <w:bCs/>
                <w:sz w:val="18"/>
                <w:szCs w:val="18"/>
                <w:lang w:eastAsia="tr-TR"/>
              </w:rPr>
              <w:t>MADDE 6 –</w:t>
            </w:r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(1) Bu Tebliğ yayımı tarihinde yürürlüğe girer.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b/>
                <w:bCs/>
                <w:sz w:val="18"/>
                <w:szCs w:val="18"/>
                <w:lang w:eastAsia="tr-TR"/>
              </w:rPr>
              <w:t>Yürütme</w:t>
            </w:r>
          </w:p>
          <w:p w:rsidR="00570538" w:rsidRDefault="00570538">
            <w:pPr>
              <w:spacing w:line="240" w:lineRule="atLeast"/>
              <w:ind w:firstLine="566"/>
              <w:jc w:val="both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&amp;quot" w:hAnsi="&amp;quot"/>
                <w:b/>
                <w:bCs/>
                <w:sz w:val="18"/>
                <w:szCs w:val="18"/>
                <w:lang w:eastAsia="tr-TR"/>
              </w:rPr>
              <w:t>MADDE 7 –</w:t>
            </w:r>
            <w:r>
              <w:rPr>
                <w:rFonts w:ascii="&amp;quot" w:hAnsi="&amp;quot"/>
                <w:sz w:val="18"/>
                <w:szCs w:val="18"/>
                <w:lang w:eastAsia="tr-TR"/>
              </w:rPr>
              <w:t xml:space="preserve"> (1) Bu Tebliğ hükümlerini Ekonomi Bakanı yürütür.</w:t>
            </w:r>
          </w:p>
          <w:p w:rsidR="00570538" w:rsidRDefault="00570538">
            <w:pPr>
              <w:spacing w:before="100" w:beforeAutospacing="1" w:after="100" w:afterAutospacing="1"/>
              <w:jc w:val="center"/>
              <w:rPr>
                <w:rFonts w:ascii="&amp;quot" w:hAnsi="&amp;quot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0513DA" w:rsidRDefault="000513DA"/>
    <w:sectPr w:rsidR="0005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&amp;quot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32"/>
    <w:rsid w:val="0002577D"/>
    <w:rsid w:val="000513DA"/>
    <w:rsid w:val="002A34B6"/>
    <w:rsid w:val="00301924"/>
    <w:rsid w:val="003F0ECD"/>
    <w:rsid w:val="00475444"/>
    <w:rsid w:val="00570538"/>
    <w:rsid w:val="005956F3"/>
    <w:rsid w:val="00677121"/>
    <w:rsid w:val="006E431E"/>
    <w:rsid w:val="006F71C4"/>
    <w:rsid w:val="007179DE"/>
    <w:rsid w:val="007E667B"/>
    <w:rsid w:val="00826CAC"/>
    <w:rsid w:val="008D4DA8"/>
    <w:rsid w:val="0092511C"/>
    <w:rsid w:val="00A6639F"/>
    <w:rsid w:val="00B00A49"/>
    <w:rsid w:val="00B049F3"/>
    <w:rsid w:val="00B2252E"/>
    <w:rsid w:val="00B9766D"/>
    <w:rsid w:val="00C7737A"/>
    <w:rsid w:val="00DF75E1"/>
    <w:rsid w:val="00E2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38"/>
    <w:rPr>
      <w:rFonts w:ascii="Calibri" w:eastAsiaTheme="minorHAns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705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38"/>
    <w:rPr>
      <w:rFonts w:ascii="Calibri" w:eastAsiaTheme="minorHAns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70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psa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Şennur GÜMÜŞKAYA</dc:creator>
  <cp:keywords/>
  <dc:description/>
  <cp:lastModifiedBy>Şennur GÜMÜŞKAYA</cp:lastModifiedBy>
  <cp:revision>2</cp:revision>
  <dcterms:created xsi:type="dcterms:W3CDTF">2017-12-27T07:03:00Z</dcterms:created>
  <dcterms:modified xsi:type="dcterms:W3CDTF">2017-12-27T07:03:00Z</dcterms:modified>
</cp:coreProperties>
</file>